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sz w:val="36"/>
          <w:szCs w:val="36"/>
        </w:rPr>
      </w:pPr>
      <w:r>
        <w:rPr>
          <w:rFonts w:hint="eastAsia" w:ascii="宋体" w:hAnsi="宋体"/>
          <w:b/>
          <w:sz w:val="36"/>
          <w:szCs w:val="36"/>
        </w:rPr>
        <w:t>全国高校商业精英挑战赛“启课程杯”</w:t>
      </w:r>
    </w:p>
    <w:p>
      <w:pPr>
        <w:spacing w:line="600" w:lineRule="exact"/>
        <w:jc w:val="center"/>
        <w:rPr>
          <w:rFonts w:ascii="宋体" w:hAnsi="宋体"/>
          <w:b/>
          <w:sz w:val="36"/>
          <w:szCs w:val="36"/>
        </w:rPr>
      </w:pPr>
      <w:r>
        <w:rPr>
          <w:rFonts w:hint="eastAsia" w:ascii="宋体" w:hAnsi="宋体"/>
          <w:b/>
          <w:sz w:val="36"/>
          <w:szCs w:val="36"/>
        </w:rPr>
        <w:t>会计与商业管理案例竞赛</w:t>
      </w:r>
    </w:p>
    <w:p>
      <w:pPr>
        <w:spacing w:line="600" w:lineRule="exact"/>
        <w:jc w:val="center"/>
        <w:rPr>
          <w:rFonts w:ascii="宋体" w:hAnsi="宋体"/>
          <w:b/>
          <w:sz w:val="36"/>
          <w:szCs w:val="36"/>
        </w:rPr>
      </w:pPr>
      <w:r>
        <w:rPr>
          <w:rFonts w:hint="eastAsia" w:ascii="宋体" w:hAnsi="宋体"/>
          <w:b/>
          <w:sz w:val="36"/>
          <w:szCs w:val="36"/>
        </w:rPr>
        <w:t>——学生组比赛细则</w:t>
      </w:r>
    </w:p>
    <w:p>
      <w:pPr>
        <w:spacing w:line="600" w:lineRule="exact"/>
        <w:jc w:val="center"/>
        <w:rPr>
          <w:rFonts w:ascii="宋体" w:hAnsi="宋体"/>
          <w:b/>
          <w:sz w:val="36"/>
          <w:szCs w:val="36"/>
        </w:rPr>
      </w:pP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为提高大学生应用财务与会计信息开展商业研究和解决实际问题的能力，进一步贯彻落实财政部《会计改革与发展“十三五”规划纲要》中明确提出的要“推进管理会计广泛应用”和“加快推进管理会计人才培养，力争到2020 年培养3万名精于理财、善于管理和决策的管理会计人才”的要求，促进两岸四地财务与会计教育的互动与交流，推动以“财务与会计服务”为代表的服务贸易的发展，由中国国际商会商业行业商会与中国商业会计学会共同发起、商业国际交流合作培训中心承办的“启课程杯”会计与商业管理案例竞赛大陆总决赛与香港总决赛分别于 2018 年4月、6月在北京和香港举行。</w:t>
      </w:r>
    </w:p>
    <w:p>
      <w:pPr>
        <w:spacing w:line="440" w:lineRule="exact"/>
        <w:ind w:firstLine="630" w:firstLineChars="300"/>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一、竞赛目的</w:t>
      </w:r>
    </w:p>
    <w:p>
      <w:pPr>
        <w:spacing w:line="440" w:lineRule="exact"/>
        <w:ind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 xml:space="preserve">1. </w:t>
      </w:r>
      <w:r>
        <w:rPr>
          <w:rFonts w:hint="eastAsia" w:cs="宋体" w:asciiTheme="minorEastAsia" w:hAnsiTheme="minorEastAsia" w:eastAsiaTheme="minorEastAsia"/>
          <w:color w:val="000000" w:themeColor="text1"/>
          <w:kern w:val="0"/>
          <w:szCs w:val="21"/>
          <w14:textFill>
            <w14:solidFill>
              <w14:schemeClr w14:val="tx1"/>
            </w14:solidFill>
          </w14:textFill>
        </w:rPr>
        <w:t>接触企业鲜活案例，亲</w:t>
      </w:r>
      <w:r>
        <w:rPr>
          <w:rFonts w:hint="eastAsia" w:asciiTheme="minorEastAsia" w:hAnsiTheme="minorEastAsia" w:eastAsiaTheme="minorEastAsia"/>
          <w:color w:val="000000" w:themeColor="text1"/>
          <w:szCs w:val="21"/>
          <w14:textFill>
            <w14:solidFill>
              <w14:schemeClr w14:val="tx1"/>
            </w14:solidFill>
          </w14:textFill>
        </w:rPr>
        <w:t>历企业实践、模拟管理和管理会计决策，与企业高管面对面碰撞，提升发现、分析、解决企业实际问题的能力，增强就业竞争力。</w:t>
      </w:r>
    </w:p>
    <w:p>
      <w:pPr>
        <w:pStyle w:val="8"/>
        <w:shd w:val="clear" w:color="auto" w:fill="FFFFFF"/>
        <w:spacing w:before="0" w:beforeAutospacing="0" w:after="0" w:afterAutospacing="0" w:line="440" w:lineRule="exact"/>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2.</w:t>
      </w:r>
      <w:r>
        <w:rPr>
          <w:rFonts w:hint="eastAsia" w:asciiTheme="minorEastAsia" w:hAnsiTheme="minorEastAsia" w:eastAsiaTheme="minorEastAsia"/>
          <w:color w:val="000000" w:themeColor="text1"/>
          <w:sz w:val="21"/>
          <w:szCs w:val="21"/>
          <w14:textFill>
            <w14:solidFill>
              <w14:schemeClr w14:val="tx1"/>
            </w14:solidFill>
          </w14:textFill>
        </w:rPr>
        <w:t>促进学生综合素质的提高，包括综合运用所学会计专业知识解决实际问题的能力、定量与定性分析、决策、应用、有效的口头交流、时间管理、思辨、创意与创造、书面表达、</w:t>
      </w:r>
      <w:r>
        <w:rPr>
          <w:rFonts w:asciiTheme="minorEastAsia" w:hAnsiTheme="minorEastAsia" w:eastAsiaTheme="minorEastAsia"/>
          <w:color w:val="000000" w:themeColor="text1"/>
          <w:sz w:val="21"/>
          <w:szCs w:val="21"/>
          <w14:textFill>
            <w14:solidFill>
              <w14:schemeClr w14:val="tx1"/>
            </w14:solidFill>
          </w14:textFill>
        </w:rPr>
        <w:t>PPT</w:t>
      </w:r>
      <w:r>
        <w:rPr>
          <w:rFonts w:hint="eastAsia" w:asciiTheme="minorEastAsia" w:hAnsiTheme="minorEastAsia" w:eastAsiaTheme="minorEastAsia"/>
          <w:color w:val="000000" w:themeColor="text1"/>
          <w:sz w:val="21"/>
          <w:szCs w:val="21"/>
          <w14:textFill>
            <w14:solidFill>
              <w14:schemeClr w14:val="tx1"/>
            </w14:solidFill>
          </w14:textFill>
        </w:rPr>
        <w:t>和动画制作、教学内容制作、演讲、人际与社会交往能力的综合能力。</w:t>
      </w:r>
    </w:p>
    <w:p>
      <w:pPr>
        <w:pStyle w:val="8"/>
        <w:shd w:val="clear" w:color="auto" w:fill="FFFFFF"/>
        <w:spacing w:before="0" w:beforeAutospacing="0" w:after="0" w:afterAutospacing="0" w:line="440" w:lineRule="exact"/>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3.</w:t>
      </w:r>
      <w:r>
        <w:rPr>
          <w:rFonts w:hint="eastAsia" w:asciiTheme="minorEastAsia" w:hAnsiTheme="minorEastAsia" w:eastAsiaTheme="minorEastAsia"/>
          <w:color w:val="000000" w:themeColor="text1"/>
          <w:sz w:val="21"/>
          <w:szCs w:val="21"/>
          <w14:textFill>
            <w14:solidFill>
              <w14:schemeClr w14:val="tx1"/>
            </w14:solidFill>
          </w14:textFill>
        </w:rPr>
        <w:t>在知识赛中接触更多将会计信息用于管理与决策的案例，引导学生反思自己的学习方式，系统性学习，培养良好学习习惯。</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4. </w:t>
      </w:r>
      <w:r>
        <w:rPr>
          <w:rFonts w:hint="eastAsia" w:asciiTheme="minorEastAsia" w:hAnsiTheme="minorEastAsia" w:eastAsiaTheme="minorEastAsia"/>
          <w:color w:val="000000" w:themeColor="text1"/>
          <w:szCs w:val="21"/>
          <w14:textFill>
            <w14:solidFill>
              <w14:schemeClr w14:val="tx1"/>
            </w14:solidFill>
          </w14:textFill>
        </w:rPr>
        <w:t>获得证书及就业推荐等奖励，鼓励教学相长的团队参与，优胜队伍可以获得实习机会和部分就业机会推荐。</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二、竞赛组织</w:t>
      </w:r>
    </w:p>
    <w:p>
      <w:pPr>
        <w:spacing w:line="440" w:lineRule="exact"/>
        <w:ind w:firstLine="422" w:firstLineChars="200"/>
        <w:rPr>
          <w:rFonts w:asciiTheme="minorEastAsia" w:hAnsiTheme="minorEastAsia" w:eastAsiaTheme="minorEastAsia" w:cstheme="minorBidi"/>
          <w:b/>
          <w:color w:val="000000" w:themeColor="text1"/>
          <w:szCs w:val="21"/>
          <w14:textFill>
            <w14:solidFill>
              <w14:schemeClr w14:val="tx1"/>
            </w14:solidFill>
          </w14:textFill>
        </w:rPr>
      </w:pPr>
      <w:r>
        <w:rPr>
          <w:rFonts w:hint="eastAsia" w:asciiTheme="minorEastAsia" w:hAnsiTheme="minorEastAsia" w:eastAsiaTheme="minorEastAsia" w:cstheme="minorBidi"/>
          <w:b/>
          <w:color w:val="000000" w:themeColor="text1"/>
          <w:szCs w:val="21"/>
          <w14:textFill>
            <w14:solidFill>
              <w14:schemeClr w14:val="tx1"/>
            </w14:solidFill>
          </w14:textFill>
        </w:rPr>
        <w:t>主办单位：</w:t>
      </w:r>
    </w:p>
    <w:p>
      <w:pPr>
        <w:spacing w:line="440" w:lineRule="exact"/>
        <w:ind w:firstLine="420" w:firstLineChars="2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中国国际商会商业行业商会</w:t>
      </w:r>
    </w:p>
    <w:p>
      <w:pPr>
        <w:spacing w:line="440" w:lineRule="exact"/>
        <w:ind w:firstLine="420" w:firstLineChars="2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中国商业会计学会</w:t>
      </w:r>
    </w:p>
    <w:p>
      <w:pPr>
        <w:spacing w:line="440" w:lineRule="exact"/>
        <w:rPr>
          <w:rFonts w:asciiTheme="minorEastAsia" w:hAnsiTheme="minorEastAsia" w:eastAsiaTheme="minorEastAsia" w:cstheme="minorBidi"/>
          <w:b/>
          <w:color w:val="000000" w:themeColor="text1"/>
          <w:szCs w:val="21"/>
          <w14:textFill>
            <w14:solidFill>
              <w14:schemeClr w14:val="tx1"/>
            </w14:solidFill>
          </w14:textFill>
        </w:rPr>
      </w:pPr>
      <w:r>
        <w:rPr>
          <w:rFonts w:asciiTheme="minorEastAsia" w:hAnsiTheme="minorEastAsia" w:eastAsiaTheme="minorEastAsia" w:cstheme="minorBidi"/>
          <w:b/>
          <w:color w:val="000000" w:themeColor="text1"/>
          <w:szCs w:val="21"/>
          <w14:textFill>
            <w14:solidFill>
              <w14:schemeClr w14:val="tx1"/>
            </w14:solidFill>
          </w14:textFill>
        </w:rPr>
        <w:t xml:space="preserve">    </w:t>
      </w:r>
      <w:r>
        <w:rPr>
          <w:rFonts w:hint="eastAsia" w:asciiTheme="minorEastAsia" w:hAnsiTheme="minorEastAsia" w:eastAsiaTheme="minorEastAsia" w:cstheme="minorBidi"/>
          <w:b/>
          <w:color w:val="000000" w:themeColor="text1"/>
          <w:szCs w:val="21"/>
          <w14:textFill>
            <w14:solidFill>
              <w14:schemeClr w14:val="tx1"/>
            </w14:solidFill>
          </w14:textFill>
        </w:rPr>
        <w:t>承办单位：</w:t>
      </w:r>
    </w:p>
    <w:p>
      <w:pPr>
        <w:spacing w:line="440" w:lineRule="exact"/>
        <w:ind w:firstLine="420" w:firstLineChars="2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中国国际商会商业行业商会</w:t>
      </w:r>
    </w:p>
    <w:p>
      <w:pPr>
        <w:spacing w:line="440" w:lineRule="exact"/>
        <w:rPr>
          <w:rFonts w:asciiTheme="minorEastAsia" w:hAnsiTheme="minorEastAsia" w:eastAsiaTheme="minorEastAsia" w:cstheme="minorBidi"/>
          <w:szCs w:val="21"/>
        </w:rPr>
      </w:pPr>
      <w:r>
        <w:rPr>
          <w:rFonts w:hint="eastAsia" w:asciiTheme="minorEastAsia" w:hAnsiTheme="minorEastAsia" w:eastAsiaTheme="minorEastAsia" w:cstheme="minorBidi"/>
          <w:color w:val="000000" w:themeColor="text1"/>
          <w:szCs w:val="21"/>
          <w14:textFill>
            <w14:solidFill>
              <w14:schemeClr w14:val="tx1"/>
            </w14:solidFill>
          </w14:textFill>
        </w:rPr>
        <w:t xml:space="preserve">    </w:t>
      </w:r>
      <w:r>
        <w:rPr>
          <w:rFonts w:hint="eastAsia" w:asciiTheme="minorEastAsia" w:hAnsiTheme="minorEastAsia" w:eastAsiaTheme="minorEastAsia"/>
          <w:szCs w:val="21"/>
        </w:rPr>
        <w:t>商业国际交流合作培训中心</w:t>
      </w:r>
    </w:p>
    <w:p>
      <w:pPr>
        <w:spacing w:line="440" w:lineRule="exact"/>
        <w:ind w:firstLine="422" w:firstLineChars="200"/>
        <w:rPr>
          <w:rFonts w:asciiTheme="minorEastAsia" w:hAnsiTheme="minorEastAsia" w:eastAsiaTheme="minorEastAsia" w:cstheme="minorBidi"/>
          <w:b/>
          <w:szCs w:val="21"/>
        </w:rPr>
      </w:pPr>
      <w:r>
        <w:rPr>
          <w:rFonts w:hint="eastAsia" w:asciiTheme="minorEastAsia" w:hAnsiTheme="minorEastAsia" w:eastAsiaTheme="minorEastAsia" w:cstheme="minorBidi"/>
          <w:b/>
          <w:color w:val="000000" w:themeColor="text1"/>
          <w:szCs w:val="21"/>
          <w14:textFill>
            <w14:solidFill>
              <w14:schemeClr w14:val="tx1"/>
            </w14:solidFill>
          </w14:textFill>
        </w:rPr>
        <w:t>特别</w:t>
      </w:r>
      <w:r>
        <w:rPr>
          <w:rFonts w:hint="eastAsia" w:asciiTheme="minorEastAsia" w:hAnsiTheme="minorEastAsia" w:eastAsiaTheme="minorEastAsia" w:cstheme="minorBidi"/>
          <w:b/>
          <w:szCs w:val="21"/>
        </w:rPr>
        <w:t>支持单位：</w:t>
      </w:r>
    </w:p>
    <w:p>
      <w:pPr>
        <w:spacing w:line="440" w:lineRule="exact"/>
        <w:ind w:firstLine="420" w:firstLineChars="2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北京启课程科技有限公司</w:t>
      </w:r>
    </w:p>
    <w:p>
      <w:pPr>
        <w:spacing w:line="440" w:lineRule="exact"/>
        <w:ind w:firstLine="420" w:firstLineChars="2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会计教育转型发展校企联盟</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三、竞赛赛程和形式</w:t>
      </w:r>
      <w:r>
        <w:rPr>
          <w:rFonts w:asciiTheme="minorEastAsia" w:hAnsiTheme="minorEastAsia" w:eastAsiaTheme="minorEastAsia"/>
          <w:color w:val="000000" w:themeColor="text1"/>
          <w:sz w:val="28"/>
          <w:szCs w:val="28"/>
          <w14:textFill>
            <w14:solidFill>
              <w14:schemeClr w14:val="tx1"/>
            </w14:solidFill>
          </w14:textFill>
        </w:rPr>
        <w:t xml:space="preserve"> </w:t>
      </w:r>
    </w:p>
    <w:p>
      <w:pP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rPr>
        <w:t>（一）在线知识竞赛和报名（注：知识赛考试2018年3月1日截止）</w:t>
      </w:r>
    </w:p>
    <w:p>
      <w:pPr>
        <w:widowControl/>
        <w:spacing w:line="44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从2017年10月1日开启大赛宣传和报名，大赛兼报名网址：</w:t>
      </w:r>
      <w:r>
        <w:fldChar w:fldCharType="begin"/>
      </w:r>
      <w:r>
        <w:instrText xml:space="preserve"> HYPERLINK "http://www.qicourse.cn/cubc.html" </w:instrText>
      </w:r>
      <w:r>
        <w:fldChar w:fldCharType="separate"/>
      </w:r>
      <w:r>
        <w:rPr>
          <w:rStyle w:val="10"/>
        </w:rPr>
        <w:t>http://www.qicourse.cn/cubc.html</w:t>
      </w:r>
      <w:r>
        <w:rPr>
          <w:rStyle w:val="10"/>
        </w:rPr>
        <w:fldChar w:fldCharType="end"/>
      </w:r>
    </w:p>
    <w:p>
      <w:pPr>
        <w:widowControl/>
        <w:spacing w:line="44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请注意：学校报名通过后，学生才可报名，同时，需要老师审核学生报名通过。</w:t>
      </w:r>
    </w:p>
    <w:p>
      <w:pPr>
        <w:widowControl/>
        <w:spacing w:line="44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从10月1日-3月1日，每个参赛学校利用启课程提供的在线知识竞赛试题库/试卷组织在线模拟练习（使用启课程APP端，</w:t>
      </w:r>
      <w:r>
        <w:rPr>
          <w:rFonts w:hint="eastAsia" w:asciiTheme="minorEastAsia" w:hAnsiTheme="minorEastAsia" w:eastAsiaTheme="minorEastAsia"/>
          <w:b/>
          <w:color w:val="000000" w:themeColor="text1"/>
          <w:szCs w:val="21"/>
          <w14:textFill>
            <w14:solidFill>
              <w14:schemeClr w14:val="tx1"/>
            </w14:solidFill>
          </w14:textFill>
        </w:rPr>
        <w:t>注意：为方便组织，组委会将在10月至12月每周周五集中为学生开启启课程APP练习功能，获得练习功能的学生将会收到启课程公司发的注册成功短信。请组织老师通知学生，以免不能及时练习而担心。</w:t>
      </w:r>
      <w:r>
        <w:rPr>
          <w:rFonts w:hint="eastAsia" w:asciiTheme="minorEastAsia" w:hAnsiTheme="minorEastAsia" w:eastAsiaTheme="minorEastAsia"/>
          <w:color w:val="000000" w:themeColor="text1"/>
          <w:szCs w:val="21"/>
          <w14:textFill>
            <w14:solidFill>
              <w14:schemeClr w14:val="tx1"/>
            </w14:solidFill>
          </w14:textFill>
        </w:rPr>
        <w:t>）及组织在线知识竞赛（只可PC端，需教师与组委会预约时间），所有参赛院校通过知识竞赛成绩甄选1-5支队伍（每支队伍3-5人，1-5支队伍每个组别，若有本科生和研究生两个组别，可以最多上报10支队伍）报名参加初赛（必须完成知识竞赛方可进入初赛）。</w:t>
      </w:r>
      <w:r>
        <w:rPr>
          <w:rFonts w:asciiTheme="minorEastAsia" w:hAnsiTheme="minorEastAsia" w:eastAsiaTheme="minorEastAsia"/>
          <w:color w:val="000000" w:themeColor="text1"/>
          <w:szCs w:val="21"/>
          <w14:textFill>
            <w14:solidFill>
              <w14:schemeClr w14:val="tx1"/>
            </w14:solidFill>
          </w14:textFill>
        </w:rPr>
        <w:t xml:space="preserve"> </w:t>
      </w:r>
    </w:p>
    <w:p>
      <w:pPr>
        <w:widowControl/>
        <w:spacing w:line="440" w:lineRule="exact"/>
        <w:ind w:firstLine="422" w:firstLineChars="200"/>
        <w:jc w:val="left"/>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注：可预约知识赛考试时间为以下时段，</w:t>
      </w:r>
    </w:p>
    <w:p>
      <w:pPr>
        <w:widowControl/>
        <w:spacing w:line="440" w:lineRule="exact"/>
        <w:ind w:firstLine="422" w:firstLineChars="200"/>
        <w:jc w:val="left"/>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2017年11月3日—— 6日 8:00-23:00 任意时段</w:t>
      </w:r>
    </w:p>
    <w:p>
      <w:pPr>
        <w:widowControl/>
        <w:spacing w:line="440" w:lineRule="exact"/>
        <w:ind w:firstLine="422" w:firstLineChars="200"/>
        <w:jc w:val="left"/>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 xml:space="preserve">2017年11月24日——28日 8:00-23:00 任意时段 </w:t>
      </w:r>
    </w:p>
    <w:p>
      <w:pPr>
        <w:widowControl/>
        <w:spacing w:line="440" w:lineRule="exact"/>
        <w:ind w:firstLine="422" w:firstLineChars="200"/>
        <w:jc w:val="left"/>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2017年12月4日——10日 8:00-23:00  任意时段</w:t>
      </w:r>
    </w:p>
    <w:p>
      <w:pPr>
        <w:widowControl/>
        <w:spacing w:line="440" w:lineRule="exact"/>
        <w:ind w:firstLine="422" w:firstLineChars="200"/>
        <w:jc w:val="left"/>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2017年12月25日——31日 8:00-23:00 任意时段</w:t>
      </w:r>
    </w:p>
    <w:p>
      <w:pPr>
        <w:numPr>
          <w:ilvl w:val="0"/>
          <w:numId w:val="1"/>
        </w:num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实践赛初赛   2018年 3月16日前提交参赛队递交报名表和参赛方案            </w:t>
      </w:r>
    </w:p>
    <w:p>
      <w:pPr>
        <w:numPr>
          <w:ilvl w:val="0"/>
          <w:numId w:val="1"/>
        </w:num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入围         2018年3月23日评审出进入大陆地区总决赛的队伍 </w:t>
      </w: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 xml:space="preserve">第一部分：提交商业计划书                               </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请以途牛旅行网</w:t>
      </w:r>
      <w:r>
        <w:rPr>
          <w:rFonts w:hint="eastAsia" w:asciiTheme="minorEastAsia" w:hAnsiTheme="minorEastAsia" w:eastAsiaTheme="minorEastAsia"/>
          <w:b/>
          <w:bCs/>
          <w:color w:val="000000" w:themeColor="text1"/>
          <w:szCs w:val="21"/>
          <w14:textFill>
            <w14:solidFill>
              <w14:schemeClr w14:val="tx1"/>
            </w14:solidFill>
          </w14:textFill>
        </w:rPr>
        <w:t>（股票名称和代码：Nasdaq: TOUR）</w:t>
      </w:r>
      <w:r>
        <w:rPr>
          <w:rFonts w:hint="eastAsia" w:asciiTheme="minorEastAsia" w:hAnsiTheme="minorEastAsia" w:eastAsiaTheme="minorEastAsia"/>
          <w:color w:val="000000" w:themeColor="text1"/>
          <w:szCs w:val="21"/>
          <w14:textFill>
            <w14:solidFill>
              <w14:schemeClr w14:val="tx1"/>
            </w14:solidFill>
          </w14:textFill>
        </w:rPr>
        <w:t>的财务报告为基础，各参赛队以商业策略顾问的身份，基于该企业2014-2016年（若提交报告前2017年的报告已经出来，建议参照2017年报告）的业绩报告研究其商业经营，制定一份商业计划书以提高其未来三年的经营业绩。</w:t>
      </w:r>
    </w:p>
    <w:p>
      <w:pPr>
        <w:spacing w:line="44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 商业计划书</w:t>
      </w:r>
      <w:r>
        <w:rPr>
          <w:rFonts w:asciiTheme="minorEastAsia" w:hAnsiTheme="minorEastAsia" w:eastAsiaTheme="minorEastAsia"/>
          <w:b/>
          <w:color w:val="000000" w:themeColor="text1"/>
          <w:szCs w:val="21"/>
          <w14:textFill>
            <w14:solidFill>
              <w14:schemeClr w14:val="tx1"/>
            </w14:solidFill>
          </w14:textFill>
        </w:rPr>
        <w:t xml:space="preserve"> </w:t>
      </w:r>
      <w:r>
        <w:rPr>
          <w:rFonts w:hint="eastAsia" w:asciiTheme="minorEastAsia" w:hAnsiTheme="minorEastAsia" w:eastAsiaTheme="minorEastAsia"/>
          <w:b/>
          <w:color w:val="000000" w:themeColor="text1"/>
          <w:szCs w:val="21"/>
          <w14:textFill>
            <w14:solidFill>
              <w14:schemeClr w14:val="tx1"/>
            </w14:solidFill>
          </w14:textFill>
        </w:rPr>
        <w:t>你的商业计划书应当包括以下要素：</w:t>
      </w:r>
      <w:r>
        <w:rPr>
          <w:rFonts w:asciiTheme="minorEastAsia" w:hAnsiTheme="minorEastAsia" w:eastAsiaTheme="minorEastAsia"/>
          <w:b/>
          <w:color w:val="000000" w:themeColor="text1"/>
          <w:szCs w:val="21"/>
          <w14:textFill>
            <w14:solidFill>
              <w14:schemeClr w14:val="tx1"/>
            </w14:solidFill>
          </w14:textFill>
        </w:rPr>
        <w:t xml:space="preserve"> </w:t>
      </w:r>
    </w:p>
    <w:p>
      <w:pPr>
        <w:pStyle w:val="18"/>
        <w:numPr>
          <w:ilvl w:val="0"/>
          <w:numId w:val="2"/>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目录</w:t>
      </w:r>
    </w:p>
    <w:p>
      <w:pPr>
        <w:pStyle w:val="18"/>
        <w:numPr>
          <w:ilvl w:val="0"/>
          <w:numId w:val="2"/>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概要</w:t>
      </w:r>
    </w:p>
    <w:p>
      <w:pPr>
        <w:pStyle w:val="18"/>
        <w:numPr>
          <w:ilvl w:val="0"/>
          <w:numId w:val="2"/>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引言</w:t>
      </w:r>
    </w:p>
    <w:p>
      <w:pPr>
        <w:pStyle w:val="18"/>
        <w:numPr>
          <w:ilvl w:val="0"/>
          <w:numId w:val="2"/>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当前经济情况</w:t>
      </w:r>
    </w:p>
    <w:p>
      <w:pPr>
        <w:pStyle w:val="18"/>
        <w:numPr>
          <w:ilvl w:val="0"/>
          <w:numId w:val="2"/>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财务分析</w:t>
      </w:r>
      <w:r>
        <w:rPr>
          <w:rFonts w:asciiTheme="minorEastAsia" w:hAnsiTheme="minorEastAsia" w:eastAsiaTheme="minorEastAsia"/>
          <w:color w:val="000000"/>
          <w:szCs w:val="21"/>
        </w:rPr>
        <w:t xml:space="preserve"> </w:t>
      </w:r>
    </w:p>
    <w:p>
      <w:pPr>
        <w:pStyle w:val="18"/>
        <w:numPr>
          <w:ilvl w:val="0"/>
          <w:numId w:val="2"/>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策略分析</w:t>
      </w:r>
      <w:r>
        <w:rPr>
          <w:rFonts w:asciiTheme="minorEastAsia" w:hAnsiTheme="minorEastAsia" w:eastAsiaTheme="minorEastAsia"/>
          <w:color w:val="000000"/>
          <w:szCs w:val="21"/>
        </w:rPr>
        <w:t xml:space="preserve"> </w:t>
      </w:r>
    </w:p>
    <w:p>
      <w:pPr>
        <w:pStyle w:val="18"/>
        <w:numPr>
          <w:ilvl w:val="0"/>
          <w:numId w:val="2"/>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策略计划</w:t>
      </w:r>
    </w:p>
    <w:p>
      <w:pPr>
        <w:pStyle w:val="18"/>
        <w:numPr>
          <w:ilvl w:val="0"/>
          <w:numId w:val="2"/>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实施计划</w:t>
      </w:r>
    </w:p>
    <w:p>
      <w:pPr>
        <w:pStyle w:val="18"/>
        <w:numPr>
          <w:ilvl w:val="0"/>
          <w:numId w:val="2"/>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财务预测</w:t>
      </w:r>
    </w:p>
    <w:p>
      <w:pPr>
        <w:pStyle w:val="18"/>
        <w:numPr>
          <w:ilvl w:val="0"/>
          <w:numId w:val="2"/>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公司治理惯例回顾</w:t>
      </w:r>
    </w:p>
    <w:p>
      <w:pPr>
        <w:pStyle w:val="18"/>
        <w:numPr>
          <w:ilvl w:val="0"/>
          <w:numId w:val="2"/>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附录和参考资料</w:t>
      </w:r>
    </w:p>
    <w:p>
      <w:pPr>
        <w:pStyle w:val="18"/>
        <w:numPr>
          <w:ilvl w:val="0"/>
          <w:numId w:val="2"/>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所用到的财务与会计知识点列表</w:t>
      </w:r>
    </w:p>
    <w:p>
      <w:pPr>
        <w:spacing w:line="44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注意：</w:t>
      </w:r>
      <w:r>
        <w:rPr>
          <w:rFonts w:asciiTheme="minorEastAsia" w:hAnsiTheme="minorEastAsia" w:eastAsiaTheme="minorEastAsia"/>
          <w:color w:val="000000"/>
          <w:szCs w:val="21"/>
        </w:rPr>
        <w:t xml:space="preserve"> </w:t>
      </w:r>
    </w:p>
    <w:p>
      <w:pPr>
        <w:pStyle w:val="18"/>
        <w:numPr>
          <w:ilvl w:val="0"/>
          <w:numId w:val="3"/>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在进行财务分析时，你可以参考集团的财务报告。需要以前年度（如</w:t>
      </w:r>
      <w:r>
        <w:rPr>
          <w:rFonts w:asciiTheme="minorEastAsia" w:hAnsiTheme="minorEastAsia" w:eastAsiaTheme="minorEastAsia"/>
          <w:color w:val="000000"/>
          <w:szCs w:val="21"/>
        </w:rPr>
        <w:t xml:space="preserve"> 201</w:t>
      </w:r>
      <w:r>
        <w:rPr>
          <w:rFonts w:hint="eastAsia" w:asciiTheme="minorEastAsia" w:hAnsiTheme="minorEastAsia" w:eastAsiaTheme="minorEastAsia"/>
          <w:color w:val="000000"/>
          <w:szCs w:val="21"/>
        </w:rPr>
        <w:t>4</w:t>
      </w:r>
      <w:r>
        <w:rPr>
          <w:rFonts w:asciiTheme="minorEastAsia" w:hAnsiTheme="minorEastAsia" w:eastAsiaTheme="minorEastAsia"/>
          <w:color w:val="000000"/>
          <w:szCs w:val="21"/>
        </w:rPr>
        <w:t>-201</w:t>
      </w:r>
      <w:r>
        <w:rPr>
          <w:rFonts w:hint="eastAsia" w:asciiTheme="minorEastAsia" w:hAnsiTheme="minorEastAsia" w:eastAsiaTheme="minorEastAsia"/>
          <w:color w:val="000000"/>
          <w:szCs w:val="21"/>
        </w:rPr>
        <w:t>6）的详细财务报告，并且需要表明用来计算会计比率的公式。</w:t>
      </w:r>
    </w:p>
    <w:p>
      <w:pPr>
        <w:pStyle w:val="18"/>
        <w:numPr>
          <w:ilvl w:val="0"/>
          <w:numId w:val="3"/>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策略分析可能包括非财务分析，比如外部环境，内部资源，现行策略与集团的核心竞争力和竞争者，等等。</w:t>
      </w:r>
    </w:p>
    <w:p>
      <w:pPr>
        <w:pStyle w:val="18"/>
        <w:numPr>
          <w:ilvl w:val="0"/>
          <w:numId w:val="3"/>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当制定策略计划时，首先你应该决定集团在未来三年所追求总体方向，然后提出建议来保证策略被执行。</w:t>
      </w:r>
      <w:r>
        <w:rPr>
          <w:rFonts w:asciiTheme="minorEastAsia" w:hAnsiTheme="minorEastAsia" w:eastAsiaTheme="minorEastAsia"/>
          <w:color w:val="000000"/>
          <w:szCs w:val="21"/>
        </w:rPr>
        <w:t xml:space="preserve"> </w:t>
      </w:r>
    </w:p>
    <w:p>
      <w:pPr>
        <w:pStyle w:val="18"/>
        <w:numPr>
          <w:ilvl w:val="0"/>
          <w:numId w:val="3"/>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执行计划依赖战略</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或者需要行动以保证策略计划有效执行。这些行动应该与以下因素相关，市场营销，生产，经营或者任何你认为对实现预定目标有作用的不同集团商业单元。</w:t>
      </w:r>
    </w:p>
    <w:p>
      <w:pPr>
        <w:pStyle w:val="18"/>
        <w:numPr>
          <w:ilvl w:val="0"/>
          <w:numId w:val="3"/>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你建议的策略和执行的计划应当由来自</w:t>
      </w:r>
      <w:r>
        <w:rPr>
          <w:rFonts w:asciiTheme="minorEastAsia" w:hAnsiTheme="minorEastAsia" w:eastAsiaTheme="minorEastAsia"/>
          <w:color w:val="000000"/>
          <w:szCs w:val="21"/>
        </w:rPr>
        <w:t xml:space="preserve"> 201</w:t>
      </w:r>
      <w:r>
        <w:rPr>
          <w:rFonts w:hint="eastAsia" w:asciiTheme="minorEastAsia" w:hAnsiTheme="minorEastAsia" w:eastAsiaTheme="minorEastAsia"/>
          <w:color w:val="000000"/>
          <w:szCs w:val="21"/>
        </w:rPr>
        <w:t>7</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年到</w:t>
      </w:r>
      <w:r>
        <w:rPr>
          <w:rFonts w:asciiTheme="minorEastAsia" w:hAnsiTheme="minorEastAsia" w:eastAsiaTheme="minorEastAsia"/>
          <w:color w:val="000000"/>
          <w:szCs w:val="21"/>
        </w:rPr>
        <w:t xml:space="preserve"> 201</w:t>
      </w:r>
      <w:r>
        <w:rPr>
          <w:rFonts w:hint="eastAsia" w:asciiTheme="minorEastAsia" w:hAnsiTheme="minorEastAsia" w:eastAsiaTheme="minorEastAsia"/>
          <w:color w:val="000000"/>
          <w:szCs w:val="21"/>
        </w:rPr>
        <w:t>9年未来三年的计划综合收益表所支持。</w:t>
      </w:r>
    </w:p>
    <w:p>
      <w:pPr>
        <w:pStyle w:val="18"/>
        <w:numPr>
          <w:ilvl w:val="0"/>
          <w:numId w:val="3"/>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所有的公司治理建议应当根据公司治理准则制定。</w:t>
      </w:r>
    </w:p>
    <w:p>
      <w:pPr>
        <w:pStyle w:val="18"/>
        <w:numPr>
          <w:ilvl w:val="0"/>
          <w:numId w:val="3"/>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在准备商业建议时，你应当：</w:t>
      </w:r>
      <w:r>
        <w:rPr>
          <w:rFonts w:asciiTheme="minorEastAsia" w:hAnsiTheme="minorEastAsia" w:eastAsiaTheme="minorEastAsia"/>
          <w:color w:val="000000"/>
          <w:szCs w:val="21"/>
        </w:rPr>
        <w:t xml:space="preserve"> </w:t>
      </w:r>
    </w:p>
    <w:p>
      <w:pPr>
        <w:pStyle w:val="18"/>
        <w:numPr>
          <w:ilvl w:val="0"/>
          <w:numId w:val="4"/>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确保所有的建议和意见与集团的愿景，使命和价值观一致；</w:t>
      </w:r>
    </w:p>
    <w:p>
      <w:pPr>
        <w:pStyle w:val="18"/>
        <w:numPr>
          <w:ilvl w:val="0"/>
          <w:numId w:val="4"/>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引用业绩报告参考信息需标明页码；</w:t>
      </w:r>
      <w:r>
        <w:rPr>
          <w:rFonts w:asciiTheme="minorEastAsia" w:hAnsiTheme="minorEastAsia" w:eastAsiaTheme="minorEastAsia"/>
          <w:color w:val="000000"/>
          <w:szCs w:val="21"/>
        </w:rPr>
        <w:t xml:space="preserve"> </w:t>
      </w:r>
    </w:p>
    <w:p>
      <w:pPr>
        <w:pStyle w:val="18"/>
        <w:numPr>
          <w:ilvl w:val="0"/>
          <w:numId w:val="4"/>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陈述所有相关信息，例如，图表，图片，公开信息，文章，调查研究和问卷复印件（如果有</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的话），等等，用来在附录部分作参考；</w:t>
      </w:r>
    </w:p>
    <w:p>
      <w:pPr>
        <w:pStyle w:val="18"/>
        <w:numPr>
          <w:ilvl w:val="0"/>
          <w:numId w:val="4"/>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在参考资料中引用其他的外部资源；</w:t>
      </w:r>
      <w:r>
        <w:rPr>
          <w:rFonts w:asciiTheme="minorEastAsia" w:hAnsiTheme="minorEastAsia" w:eastAsiaTheme="minorEastAsia"/>
          <w:color w:val="000000"/>
          <w:szCs w:val="21"/>
        </w:rPr>
        <w:t xml:space="preserve"> </w:t>
      </w:r>
    </w:p>
    <w:p>
      <w:pPr>
        <w:pStyle w:val="18"/>
        <w:numPr>
          <w:ilvl w:val="0"/>
          <w:numId w:val="4"/>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清楚地说明任何用来证明你的分析和建议的潜在假设；</w:t>
      </w:r>
      <w:r>
        <w:rPr>
          <w:rFonts w:asciiTheme="minorEastAsia" w:hAnsiTheme="minorEastAsia" w:eastAsiaTheme="minorEastAsia"/>
          <w:color w:val="000000"/>
          <w:szCs w:val="21"/>
        </w:rPr>
        <w:t xml:space="preserve"> </w:t>
      </w:r>
    </w:p>
    <w:p>
      <w:pPr>
        <w:spacing w:line="44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报告格式和规则：</w:t>
      </w:r>
      <w:r>
        <w:rPr>
          <w:rFonts w:asciiTheme="minorEastAsia" w:hAnsiTheme="minorEastAsia" w:eastAsiaTheme="minorEastAsia"/>
          <w:color w:val="000000"/>
          <w:szCs w:val="21"/>
        </w:rPr>
        <w:t xml:space="preserve"> </w:t>
      </w:r>
    </w:p>
    <w:p>
      <w:pPr>
        <w:pStyle w:val="18"/>
        <w:numPr>
          <w:ilvl w:val="0"/>
          <w:numId w:val="5"/>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每一个团队上交一份商业建议书（语言不限，但任何语言都不作为加分项），包含封面，目录，摘要，</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索引，附录，表格和参考资料，财务与会计知识点列表。如果有调查问卷和调查结果，请放在报告后面。</w:t>
      </w:r>
    </w:p>
    <w:p>
      <w:pPr>
        <w:pStyle w:val="18"/>
        <w:numPr>
          <w:ilvl w:val="0"/>
          <w:numId w:val="5"/>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每份商业建议书的封面内容，包含参赛者的姓名，队员指导教师的姓名，所在学校和队长的联系电话和邮箱地址。</w:t>
      </w:r>
    </w:p>
    <w:p>
      <w:pPr>
        <w:pStyle w:val="18"/>
        <w:numPr>
          <w:ilvl w:val="0"/>
          <w:numId w:val="5"/>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报告内容中不允许出现队员姓名和所在院校。</w:t>
      </w:r>
    </w:p>
    <w:p>
      <w:pPr>
        <w:pStyle w:val="18"/>
        <w:numPr>
          <w:ilvl w:val="0"/>
          <w:numId w:val="5"/>
        </w:numPr>
        <w:spacing w:line="440" w:lineRule="exact"/>
        <w:ind w:firstLine="420"/>
        <w:rPr>
          <w:rFonts w:asciiTheme="minorEastAsia" w:hAnsiTheme="minorEastAsia" w:eastAsiaTheme="minorEastAsia"/>
          <w:color w:val="000000"/>
          <w:szCs w:val="21"/>
        </w:rPr>
      </w:pPr>
      <w:r>
        <w:rPr>
          <w:rFonts w:asciiTheme="minorEastAsia" w:hAnsiTheme="minorEastAsia" w:eastAsiaTheme="minorEastAsia"/>
          <w:color w:val="000000"/>
          <w:szCs w:val="21"/>
        </w:rPr>
        <w:t>PDF</w:t>
      </w:r>
      <w:r>
        <w:rPr>
          <w:rFonts w:hint="eastAsia" w:asciiTheme="minorEastAsia" w:hAnsiTheme="minorEastAsia" w:eastAsiaTheme="minorEastAsia"/>
          <w:color w:val="000000"/>
          <w:szCs w:val="21"/>
        </w:rPr>
        <w:t>格式发送至组委会邮箱：ccpitxdzhu@163.com</w:t>
      </w:r>
    </w:p>
    <w:p>
      <w:pPr>
        <w:spacing w:line="440" w:lineRule="exact"/>
        <w:rPr>
          <w:rFonts w:asciiTheme="minorEastAsia" w:hAnsiTheme="minorEastAsia" w:eastAsiaTheme="minorEastAsia"/>
          <w:b/>
          <w:color w:val="000000"/>
          <w:szCs w:val="21"/>
        </w:rPr>
      </w:pPr>
      <w:r>
        <w:rPr>
          <w:rFonts w:asciiTheme="minorEastAsia" w:hAnsiTheme="minorEastAsia" w:eastAsiaTheme="minorEastAsia"/>
          <w:b/>
          <w:color w:val="000000"/>
          <w:szCs w:val="21"/>
        </w:rPr>
        <w:t>2.</w:t>
      </w:r>
      <w:r>
        <w:rPr>
          <w:rFonts w:hint="eastAsia" w:asciiTheme="minorEastAsia" w:hAnsiTheme="minorEastAsia" w:eastAsiaTheme="minorEastAsia"/>
          <w:b/>
          <w:color w:val="000000"/>
          <w:szCs w:val="21"/>
        </w:rPr>
        <w:t xml:space="preserve"> 若参与陈述答辩</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评委将在以下几个方面为你打分：</w:t>
      </w:r>
      <w:r>
        <w:rPr>
          <w:rFonts w:asciiTheme="minorEastAsia" w:hAnsiTheme="minorEastAsia" w:eastAsiaTheme="minorEastAsia"/>
          <w:b/>
          <w:color w:val="000000"/>
          <w:szCs w:val="21"/>
        </w:rPr>
        <w:t xml:space="preserve"> </w:t>
      </w:r>
    </w:p>
    <w:p>
      <w:pPr>
        <w:pStyle w:val="18"/>
        <w:numPr>
          <w:ilvl w:val="0"/>
          <w:numId w:val="6"/>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内容完整程度</w:t>
      </w:r>
    </w:p>
    <w:p>
      <w:pPr>
        <w:pStyle w:val="18"/>
        <w:numPr>
          <w:ilvl w:val="0"/>
          <w:numId w:val="6"/>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问题识别</w:t>
      </w:r>
    </w:p>
    <w:p>
      <w:pPr>
        <w:pStyle w:val="18"/>
        <w:numPr>
          <w:ilvl w:val="0"/>
          <w:numId w:val="6"/>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论述和决策确认的清晰程度</w:t>
      </w:r>
    </w:p>
    <w:p>
      <w:pPr>
        <w:pStyle w:val="18"/>
        <w:numPr>
          <w:ilvl w:val="0"/>
          <w:numId w:val="6"/>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结论的正确有效性</w:t>
      </w:r>
      <w:r>
        <w:rPr>
          <w:rFonts w:asciiTheme="minorEastAsia" w:hAnsiTheme="minorEastAsia" w:eastAsiaTheme="minorEastAsia"/>
          <w:color w:val="000000"/>
          <w:szCs w:val="21"/>
        </w:rPr>
        <w:t xml:space="preserve"> </w:t>
      </w:r>
    </w:p>
    <w:p>
      <w:pPr>
        <w:pStyle w:val="18"/>
        <w:numPr>
          <w:ilvl w:val="0"/>
          <w:numId w:val="6"/>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对问题的切题回应度</w:t>
      </w:r>
    </w:p>
    <w:p>
      <w:pPr>
        <w:pStyle w:val="18"/>
        <w:numPr>
          <w:ilvl w:val="0"/>
          <w:numId w:val="6"/>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演讲专业程度（包括视觉辅助工具的使用，例如</w:t>
      </w:r>
      <w:r>
        <w:rPr>
          <w:rFonts w:asciiTheme="minorEastAsia" w:hAnsiTheme="minorEastAsia" w:eastAsiaTheme="minorEastAsia"/>
          <w:color w:val="000000"/>
          <w:szCs w:val="21"/>
        </w:rPr>
        <w:t xml:space="preserve"> PowerPoint</w:t>
      </w:r>
      <w:r>
        <w:rPr>
          <w:rFonts w:hint="eastAsia" w:asciiTheme="minorEastAsia" w:hAnsiTheme="minorEastAsia" w:eastAsiaTheme="minorEastAsia"/>
          <w:color w:val="000000"/>
          <w:szCs w:val="21"/>
        </w:rPr>
        <w:t>）</w:t>
      </w:r>
    </w:p>
    <w:p>
      <w:pPr>
        <w:pStyle w:val="18"/>
        <w:numPr>
          <w:ilvl w:val="0"/>
          <w:numId w:val="6"/>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发声技巧和非语言技巧</w:t>
      </w:r>
    </w:p>
    <w:p>
      <w:pPr>
        <w:pStyle w:val="18"/>
        <w:numPr>
          <w:ilvl w:val="0"/>
          <w:numId w:val="6"/>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时间分配和团队合作配合程度</w:t>
      </w:r>
      <w:r>
        <w:rPr>
          <w:rFonts w:asciiTheme="minorEastAsia" w:hAnsiTheme="minorEastAsia" w:eastAsiaTheme="minorEastAsia"/>
          <w:color w:val="000000"/>
          <w:szCs w:val="21"/>
        </w:rPr>
        <w:t xml:space="preserve"> </w:t>
      </w:r>
    </w:p>
    <w:p>
      <w:pPr>
        <w:spacing w:line="440" w:lineRule="exact"/>
        <w:rPr>
          <w:rFonts w:asciiTheme="minorEastAsia" w:hAnsiTheme="minorEastAsia" w:eastAsiaTheme="minorEastAsia"/>
          <w:b/>
          <w:color w:val="000000" w:themeColor="text1"/>
          <w:szCs w:val="21"/>
          <w14:textFill>
            <w14:solidFill>
              <w14:schemeClr w14:val="tx1"/>
            </w14:solidFill>
          </w14:textFill>
        </w:rPr>
      </w:pPr>
    </w:p>
    <w:p>
      <w:pPr>
        <w:numPr>
          <w:ilvl w:val="0"/>
          <w:numId w:val="7"/>
        </w:num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大陆地区选拔赛与总决赛                      </w:t>
      </w:r>
    </w:p>
    <w:p>
      <w:pPr>
        <w:spacing w:line="440" w:lineRule="exact"/>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第一天总决赛分组赛    形式：商业计划书陈述及答辩</w:t>
      </w: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以提交的商业计划书为基础，报告陈述</w:t>
      </w: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0分钟，答辩</w:t>
      </w: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分钟。主要考核选手应用所学会计专业知识解决实际问题、开展商业研究的能力，利用管理会计思维给企业管理者提出合理建议的能力。</w:t>
      </w:r>
    </w:p>
    <w:p>
      <w:pPr>
        <w:spacing w:line="440" w:lineRule="exact"/>
        <w:rPr>
          <w:rFonts w:asciiTheme="minorEastAsia" w:hAnsiTheme="minorEastAsia" w:eastAsiaTheme="minorEastAsia"/>
          <w:color w:val="000000" w:themeColor="text1"/>
          <w:szCs w:val="21"/>
          <w14:textFill>
            <w14:solidFill>
              <w14:schemeClr w14:val="tx1"/>
            </w14:solidFill>
          </w14:textFill>
        </w:rPr>
      </w:pPr>
    </w:p>
    <w:tbl>
      <w:tblPr>
        <w:tblStyle w:val="13"/>
        <w:tblW w:w="798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795"/>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比赛程序</w:t>
            </w:r>
          </w:p>
        </w:tc>
        <w:tc>
          <w:tcPr>
            <w:tcW w:w="5795"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比赛内容</w:t>
            </w:r>
          </w:p>
        </w:tc>
        <w:tc>
          <w:tcPr>
            <w:tcW w:w="1059"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时间控制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5795"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1.参赛队自由安排对案例报告的呈现形式及队员分工；</w:t>
            </w:r>
          </w:p>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 陈述需要重点包含：商业计划书基本脉络，对企业问题切入及解决方案，决策建议。</w:t>
            </w:r>
          </w:p>
        </w:tc>
        <w:tc>
          <w:tcPr>
            <w:tcW w:w="1059"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5795"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评委针对陈述队伍中任意人员现场提问及评论。</w:t>
            </w:r>
          </w:p>
        </w:tc>
        <w:tc>
          <w:tcPr>
            <w:tcW w:w="1059"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约5分钟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p>
        </w:tc>
        <w:tc>
          <w:tcPr>
            <w:tcW w:w="5795"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评委对陈述队伍进行打分。</w:t>
            </w:r>
          </w:p>
        </w:tc>
        <w:tc>
          <w:tcPr>
            <w:tcW w:w="1059"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3分钟</w:t>
            </w:r>
          </w:p>
        </w:tc>
      </w:tr>
    </w:tbl>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所有队伍陈述完成后，组委会汇总每支队伍的陈述得分及提问得分，得出每支队伍的总得分。</w:t>
      </w: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w:t>
      </w:r>
    </w:p>
    <w:p>
      <w:pPr>
        <w:spacing w:line="440" w:lineRule="exact"/>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第二天 总决赛争霸赛：</w:t>
      </w:r>
      <w:r>
        <w:rPr>
          <w:rFonts w:asciiTheme="minorEastAsia" w:hAnsiTheme="minorEastAsia" w:eastAsiaTheme="minorEastAsia"/>
          <w:b/>
          <w:color w:val="000000" w:themeColor="text1"/>
          <w:szCs w:val="21"/>
          <w14:textFill>
            <w14:solidFill>
              <w14:schemeClr w14:val="tx1"/>
            </w14:solidFill>
          </w14:textFill>
        </w:rPr>
        <w:t xml:space="preserve"> </w:t>
      </w: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 xml:space="preserve">    </w:t>
      </w:r>
    </w:p>
    <w:tbl>
      <w:tblPr>
        <w:tblStyle w:val="13"/>
        <w:tblW w:w="798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795"/>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比赛程序</w:t>
            </w:r>
          </w:p>
        </w:tc>
        <w:tc>
          <w:tcPr>
            <w:tcW w:w="5795"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比赛内容</w:t>
            </w:r>
          </w:p>
        </w:tc>
        <w:tc>
          <w:tcPr>
            <w:tcW w:w="1059"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时间控制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5795" w:type="dxa"/>
            <w:vAlign w:val="center"/>
          </w:tcPr>
          <w:p>
            <w:pPr>
              <w:spacing w:line="44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1.参赛队自由安排对案例报告的呈现形式及队员分工；</w:t>
            </w:r>
          </w:p>
          <w:p>
            <w:pPr>
              <w:spacing w:line="44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 陈述需要重点包含：商业计划书基本脉络，对企业问题切入及解决方案，决策建议。</w:t>
            </w:r>
          </w:p>
        </w:tc>
        <w:tc>
          <w:tcPr>
            <w:tcW w:w="1059"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5795" w:type="dxa"/>
            <w:vAlign w:val="center"/>
          </w:tcPr>
          <w:p>
            <w:pPr>
              <w:spacing w:line="44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评委针对陈述队伍中任意人员现场提问及评论。</w:t>
            </w:r>
          </w:p>
        </w:tc>
        <w:tc>
          <w:tcPr>
            <w:tcW w:w="1059"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约5分钟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p>
        </w:tc>
        <w:tc>
          <w:tcPr>
            <w:tcW w:w="5795" w:type="dxa"/>
            <w:vAlign w:val="center"/>
          </w:tcPr>
          <w:p>
            <w:pPr>
              <w:spacing w:line="44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评委对陈述队伍进行打分。</w:t>
            </w:r>
          </w:p>
        </w:tc>
        <w:tc>
          <w:tcPr>
            <w:tcW w:w="1059"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3分钟</w:t>
            </w:r>
          </w:p>
        </w:tc>
      </w:tr>
    </w:tbl>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所有队伍陈述完成后，组委会汇总每支队伍的陈述得分及提问得分，得出每支队伍的总得分。</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四、参赛要求</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1. </w:t>
      </w:r>
      <w:r>
        <w:rPr>
          <w:rFonts w:hint="eastAsia" w:asciiTheme="minorEastAsia" w:hAnsiTheme="minorEastAsia" w:eastAsiaTheme="minorEastAsia"/>
          <w:color w:val="000000" w:themeColor="text1"/>
          <w:szCs w:val="21"/>
          <w14:textFill>
            <w14:solidFill>
              <w14:schemeClr w14:val="tx1"/>
            </w14:solidFill>
          </w14:textFill>
        </w:rPr>
        <w:t>竞赛范围：大陆地区，不分赛区</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2. </w:t>
      </w:r>
      <w:r>
        <w:rPr>
          <w:rFonts w:hint="eastAsia" w:asciiTheme="minorEastAsia" w:hAnsiTheme="minorEastAsia" w:eastAsiaTheme="minorEastAsia"/>
          <w:color w:val="000000" w:themeColor="text1"/>
          <w:szCs w:val="21"/>
          <w14:textFill>
            <w14:solidFill>
              <w14:schemeClr w14:val="tx1"/>
            </w14:solidFill>
          </w14:textFill>
        </w:rPr>
        <w:t>参赛资格：学习会计学、财务管理等专业或相关专业的全日制在校本科生或研究生。</w:t>
      </w:r>
      <w:r>
        <w:rPr>
          <w:rFonts w:asciiTheme="minorEastAsia" w:hAnsiTheme="minorEastAsia" w:eastAsiaTheme="minorEastAsia"/>
          <w:color w:val="000000" w:themeColor="text1"/>
          <w:szCs w:val="21"/>
          <w14:textFill>
            <w14:solidFill>
              <w14:schemeClr w14:val="tx1"/>
            </w14:solidFill>
          </w14:textFill>
        </w:rPr>
        <w:t xml:space="preserve"> </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五、参赛费用</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总决赛按照每支参赛队</w:t>
      </w:r>
      <w:r>
        <w:rPr>
          <w:rFonts w:hint="eastAsia" w:asciiTheme="minorEastAsia" w:hAnsiTheme="minorEastAsia" w:eastAsiaTheme="minorEastAsia"/>
          <w:color w:val="000000" w:themeColor="text1"/>
          <w:szCs w:val="21"/>
          <w14:textFill>
            <w14:solidFill>
              <w14:schemeClr w14:val="tx1"/>
            </w14:solidFill>
          </w14:textFill>
        </w:rPr>
        <w:t>2500元的标准收取参赛报名费，主要用于竞赛场地、竞赛资料和竞赛评审。参赛报名费请于指定日期前全额汇款至组委会账户，并注明“会计案例竞赛”。</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六、评分细则</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附件：2018年会计与商业管理案例竞赛评委用评分表 —— 学生组</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七、奖项设置</w:t>
      </w:r>
      <w:r>
        <w:rPr>
          <w:rFonts w:asciiTheme="minorEastAsia" w:hAnsiTheme="minorEastAsia" w:eastAsiaTheme="minorEastAsia"/>
          <w:b/>
          <w:color w:val="000000" w:themeColor="text1"/>
          <w:sz w:val="28"/>
          <w:szCs w:val="28"/>
          <w14:textFill>
            <w14:solidFill>
              <w14:schemeClr w14:val="tx1"/>
            </w14:solidFill>
          </w14:textFill>
        </w:rPr>
        <w:t xml:space="preserve"> </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1. </w:t>
      </w:r>
      <w:r>
        <w:rPr>
          <w:rFonts w:hint="eastAsia" w:asciiTheme="minorEastAsia" w:hAnsiTheme="minorEastAsia" w:eastAsiaTheme="minorEastAsia"/>
          <w:color w:val="000000" w:themeColor="text1"/>
          <w:szCs w:val="21"/>
          <w14:textFill>
            <w14:solidFill>
              <w14:schemeClr w14:val="tx1"/>
            </w14:solidFill>
          </w14:textFill>
        </w:rPr>
        <w:t>总决赛三名的参赛队，分别给予人民币</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 xml:space="preserve">000 </w:t>
      </w:r>
      <w:r>
        <w:rPr>
          <w:rFonts w:hint="eastAsia" w:asciiTheme="minorEastAsia" w:hAnsiTheme="minorEastAsia" w:eastAsiaTheme="minorEastAsia"/>
          <w:color w:val="000000" w:themeColor="text1"/>
          <w:szCs w:val="21"/>
          <w14:textFill>
            <w14:solidFill>
              <w14:schemeClr w14:val="tx1"/>
            </w14:solidFill>
          </w14:textFill>
        </w:rPr>
        <w:t>元、2</w:t>
      </w:r>
      <w:r>
        <w:rPr>
          <w:rFonts w:asciiTheme="minorEastAsia" w:hAnsiTheme="minorEastAsia" w:eastAsiaTheme="minorEastAsia"/>
          <w:color w:val="000000" w:themeColor="text1"/>
          <w:szCs w:val="21"/>
          <w14:textFill>
            <w14:solidFill>
              <w14:schemeClr w14:val="tx1"/>
            </w14:solidFill>
          </w14:textFill>
        </w:rPr>
        <w:t xml:space="preserve">000 </w:t>
      </w:r>
      <w:r>
        <w:rPr>
          <w:rFonts w:hint="eastAsia" w:asciiTheme="minorEastAsia" w:hAnsiTheme="minorEastAsia" w:eastAsiaTheme="minorEastAsia"/>
          <w:color w:val="000000" w:themeColor="text1"/>
          <w:szCs w:val="21"/>
          <w14:textFill>
            <w14:solidFill>
              <w14:schemeClr w14:val="tx1"/>
            </w14:solidFill>
          </w14:textFill>
        </w:rPr>
        <w:t>元和</w:t>
      </w:r>
      <w:r>
        <w:rPr>
          <w:rFonts w:asciiTheme="minorEastAsia" w:hAnsiTheme="minorEastAsia" w:eastAsiaTheme="minorEastAsia"/>
          <w:color w:val="000000" w:themeColor="text1"/>
          <w:szCs w:val="21"/>
          <w14:textFill>
            <w14:solidFill>
              <w14:schemeClr w14:val="tx1"/>
            </w14:solidFill>
          </w14:textFill>
        </w:rPr>
        <w:t xml:space="preserve"> 1000 </w:t>
      </w:r>
      <w:r>
        <w:rPr>
          <w:rFonts w:hint="eastAsia" w:asciiTheme="minorEastAsia" w:hAnsiTheme="minorEastAsia" w:eastAsiaTheme="minorEastAsia"/>
          <w:color w:val="000000" w:themeColor="text1"/>
          <w:szCs w:val="21"/>
          <w14:textFill>
            <w14:solidFill>
              <w14:schemeClr w14:val="tx1"/>
            </w14:solidFill>
          </w14:textFill>
        </w:rPr>
        <w:t>元的奖励，并颁发决赛冠军、亚军和季军的奖杯和荣誉证书。并对冠亚季军三支队伍提供每个队伍实习机会推荐。</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2. </w:t>
      </w:r>
      <w:r>
        <w:rPr>
          <w:rFonts w:hint="eastAsia" w:asciiTheme="minorEastAsia" w:hAnsiTheme="minorEastAsia" w:eastAsiaTheme="minorEastAsia"/>
          <w:color w:val="000000" w:themeColor="text1"/>
          <w:szCs w:val="21"/>
          <w14:textFill>
            <w14:solidFill>
              <w14:schemeClr w14:val="tx1"/>
            </w14:solidFill>
          </w14:textFill>
        </w:rPr>
        <w:t>竞赛按比例分别设置一、二、三等奖。对上述获奖的团队，颁发奖牌和荣誉证书，并由专业评审给予专业点评。</w:t>
      </w:r>
      <w:r>
        <w:rPr>
          <w:rFonts w:asciiTheme="minorEastAsia" w:hAnsiTheme="minorEastAsia" w:eastAsiaTheme="minorEastAsia"/>
          <w:color w:val="000000" w:themeColor="text1"/>
          <w:szCs w:val="21"/>
          <w14:textFill>
            <w14:solidFill>
              <w14:schemeClr w14:val="tx1"/>
            </w14:solidFill>
          </w14:textFill>
        </w:rPr>
        <w:t xml:space="preserve"> </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 比赛还将设立优秀辅导教师奖，最佳院校组织奖，获奖教师将获得荣誉证书以及成为启课程课程开发指导顾问。</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jc w:val="left"/>
        <w:rPr>
          <w:rFonts w:ascii="宋体" w:hAnsi="宋体"/>
          <w:b/>
          <w:sz w:val="28"/>
          <w:szCs w:val="28"/>
          <w:lang w:eastAsia="zh-TW"/>
        </w:rPr>
      </w:pPr>
      <w:r>
        <w:rPr>
          <w:rFonts w:hint="eastAsia" w:ascii="宋体" w:hAnsi="宋体"/>
          <w:b/>
          <w:sz w:val="28"/>
          <w:szCs w:val="28"/>
          <w:lang w:eastAsia="zh-TW"/>
        </w:rPr>
        <w:t>八、大赛组委会联系方式</w:t>
      </w:r>
    </w:p>
    <w:p>
      <w:pPr>
        <w:spacing w:line="440" w:lineRule="exact"/>
        <w:rPr>
          <w:rFonts w:hint="eastAsia" w:asciiTheme="minorEastAsia" w:hAnsiTheme="minorEastAsia" w:eastAsiaTheme="minorEastAsia"/>
          <w:color w:val="000000" w:themeColor="text1"/>
          <w:szCs w:val="21"/>
          <w:lang w:eastAsia="zh-TW"/>
          <w14:textFill>
            <w14:solidFill>
              <w14:schemeClr w14:val="tx1"/>
            </w14:solidFill>
          </w14:textFill>
        </w:rPr>
      </w:pPr>
      <w:r>
        <w:rPr>
          <w:rFonts w:hint="eastAsia" w:asciiTheme="minorEastAsia" w:hAnsiTheme="minorEastAsia" w:eastAsiaTheme="minorEastAsia"/>
          <w:color w:val="000000" w:themeColor="text1"/>
          <w:szCs w:val="21"/>
          <w:lang w:eastAsia="zh-TW"/>
          <w14:textFill>
            <w14:solidFill>
              <w14:schemeClr w14:val="tx1"/>
            </w14:solidFill>
          </w14:textFill>
        </w:rPr>
        <w:t>中国国际商会商业行业商会教育培训部山东办事处</w:t>
      </w:r>
    </w:p>
    <w:p>
      <w:pPr>
        <w:spacing w:line="440" w:lineRule="exact"/>
        <w:rPr>
          <w:rFonts w:hint="eastAsia" w:asciiTheme="minorEastAsia" w:hAnsiTheme="minorEastAsia" w:eastAsiaTheme="minorEastAsia"/>
          <w:color w:val="000000" w:themeColor="text1"/>
          <w:szCs w:val="21"/>
          <w:lang w:eastAsia="zh-TW"/>
          <w14:textFill>
            <w14:solidFill>
              <w14:schemeClr w14:val="tx1"/>
            </w14:solidFill>
          </w14:textFill>
        </w:rPr>
      </w:pPr>
      <w:r>
        <w:rPr>
          <w:rFonts w:hint="eastAsia" w:asciiTheme="minorEastAsia" w:hAnsiTheme="minorEastAsia" w:eastAsiaTheme="minorEastAsia"/>
          <w:color w:val="000000" w:themeColor="text1"/>
          <w:szCs w:val="21"/>
          <w:lang w:eastAsia="zh-TW"/>
          <w14:textFill>
            <w14:solidFill>
              <w14:schemeClr w14:val="tx1"/>
            </w14:solidFill>
          </w14:textFill>
        </w:rPr>
        <w:t>地 址：济南市天桥区无影山中路153号香港国际7号楼2单元1007室</w:t>
      </w:r>
    </w:p>
    <w:p>
      <w:pPr>
        <w:spacing w:line="440" w:lineRule="exact"/>
        <w:rPr>
          <w:rFonts w:hint="eastAsia" w:asciiTheme="minorEastAsia" w:hAnsiTheme="minorEastAsia" w:eastAsiaTheme="minorEastAsia"/>
          <w:color w:val="000000" w:themeColor="text1"/>
          <w:szCs w:val="21"/>
          <w:lang w:eastAsia="zh-TW"/>
          <w14:textFill>
            <w14:solidFill>
              <w14:schemeClr w14:val="tx1"/>
            </w14:solidFill>
          </w14:textFill>
        </w:rPr>
      </w:pPr>
      <w:r>
        <w:rPr>
          <w:rFonts w:hint="eastAsia" w:asciiTheme="minorEastAsia" w:hAnsiTheme="minorEastAsia" w:eastAsiaTheme="minorEastAsia"/>
          <w:color w:val="000000" w:themeColor="text1"/>
          <w:szCs w:val="21"/>
          <w:lang w:eastAsia="zh-TW"/>
          <w14:textFill>
            <w14:solidFill>
              <w14:schemeClr w14:val="tx1"/>
            </w14:solidFill>
          </w14:textFill>
        </w:rPr>
        <w:t>联系人：靳成功</w:t>
      </w:r>
      <w:r>
        <w:rPr>
          <w:rFonts w:hint="eastAsia" w:asciiTheme="minorEastAsia" w:hAnsiTheme="minorEastAsia" w:eastAsiaTheme="minorEastAsia"/>
          <w:color w:val="000000" w:themeColor="text1"/>
          <w:szCs w:val="21"/>
          <w:lang w:val="en-US" w:eastAsia="zh-TW"/>
          <w14:textFill>
            <w14:solidFill>
              <w14:schemeClr w14:val="tx1"/>
            </w14:solidFill>
          </w14:textFill>
        </w:rPr>
        <w:t xml:space="preserve"> </w:t>
      </w:r>
      <w:r>
        <w:rPr>
          <w:rFonts w:hint="eastAsia" w:asciiTheme="minorEastAsia" w:hAnsiTheme="minorEastAsia" w:eastAsiaTheme="minorEastAsia"/>
          <w:color w:val="000000" w:themeColor="text1"/>
          <w:szCs w:val="21"/>
          <w:lang w:eastAsia="zh-TW"/>
          <w14:textFill>
            <w14:solidFill>
              <w14:schemeClr w14:val="tx1"/>
            </w14:solidFill>
          </w14:textFill>
        </w:rPr>
        <w:t>   王磊</w:t>
      </w:r>
      <w:r>
        <w:rPr>
          <w:rFonts w:hint="eastAsia" w:asciiTheme="minorEastAsia" w:hAnsiTheme="minorEastAsia" w:eastAsiaTheme="minorEastAsia"/>
          <w:color w:val="000000" w:themeColor="text1"/>
          <w:szCs w:val="21"/>
          <w:lang w:val="en-US" w:eastAsia="zh-TW"/>
          <w14:textFill>
            <w14:solidFill>
              <w14:schemeClr w14:val="tx1"/>
            </w14:solidFill>
          </w14:textFill>
        </w:rPr>
        <w:t xml:space="preserve">    </w:t>
      </w:r>
    </w:p>
    <w:p>
      <w:pPr>
        <w:spacing w:line="440" w:lineRule="exact"/>
        <w:rPr>
          <w:rFonts w:hint="eastAsia" w:asciiTheme="minorEastAsia" w:hAnsiTheme="minorEastAsia" w:eastAsiaTheme="minorEastAsia"/>
          <w:color w:val="000000" w:themeColor="text1"/>
          <w:szCs w:val="21"/>
          <w:lang w:eastAsia="zh-TW"/>
          <w14:textFill>
            <w14:solidFill>
              <w14:schemeClr w14:val="tx1"/>
            </w14:solidFill>
          </w14:textFill>
        </w:rPr>
      </w:pPr>
      <w:r>
        <w:rPr>
          <w:rFonts w:hint="eastAsia" w:asciiTheme="minorEastAsia" w:hAnsiTheme="minorEastAsia" w:eastAsiaTheme="minorEastAsia"/>
          <w:color w:val="000000" w:themeColor="text1"/>
          <w:szCs w:val="21"/>
          <w:lang w:eastAsia="zh-TW"/>
          <w14:textFill>
            <w14:solidFill>
              <w14:schemeClr w14:val="tx1"/>
            </w14:solidFill>
          </w14:textFill>
        </w:rPr>
        <w:t>电 </w:t>
      </w:r>
      <w:r>
        <w:rPr>
          <w:rFonts w:hint="eastAsia" w:asciiTheme="minorEastAsia" w:hAnsiTheme="minorEastAsia" w:eastAsiaTheme="minorEastAsia"/>
          <w:color w:val="000000" w:themeColor="text1"/>
          <w:szCs w:val="21"/>
          <w:lang w:val="en-US" w:eastAsia="zh-TW"/>
          <w14:textFill>
            <w14:solidFill>
              <w14:schemeClr w14:val="tx1"/>
            </w14:solidFill>
          </w14:textFill>
        </w:rPr>
        <w:t xml:space="preserve"> </w:t>
      </w:r>
      <w:r>
        <w:rPr>
          <w:rFonts w:hint="eastAsia" w:asciiTheme="minorEastAsia" w:hAnsiTheme="minorEastAsia" w:eastAsiaTheme="minorEastAsia"/>
          <w:color w:val="000000" w:themeColor="text1"/>
          <w:szCs w:val="21"/>
          <w:lang w:eastAsia="zh-TW"/>
          <w14:textFill>
            <w14:solidFill>
              <w14:schemeClr w14:val="tx1"/>
            </w14:solidFill>
          </w14:textFill>
        </w:rPr>
        <w:t> 话：0531—86591892</w:t>
      </w:r>
      <w:r>
        <w:rPr>
          <w:rFonts w:hint="eastAsia" w:asciiTheme="minorEastAsia" w:hAnsiTheme="minorEastAsia" w:eastAsiaTheme="minorEastAsia"/>
          <w:color w:val="000000" w:themeColor="text1"/>
          <w:szCs w:val="21"/>
          <w:lang w:val="en-US" w:eastAsia="zh-TW"/>
          <w14:textFill>
            <w14:solidFill>
              <w14:schemeClr w14:val="tx1"/>
            </w14:solidFill>
          </w14:textFill>
        </w:rPr>
        <w:t xml:space="preserve">   </w:t>
      </w:r>
      <w:r>
        <w:rPr>
          <w:rFonts w:hint="eastAsia" w:asciiTheme="minorEastAsia" w:hAnsiTheme="minorEastAsia" w:eastAsiaTheme="minorEastAsia"/>
          <w:color w:val="000000" w:themeColor="text1"/>
          <w:szCs w:val="21"/>
          <w:lang w:eastAsia="zh-TW"/>
          <w14:textFill>
            <w14:solidFill>
              <w14:schemeClr w14:val="tx1"/>
            </w14:solidFill>
          </w14:textFill>
        </w:rPr>
        <w:t> </w:t>
      </w:r>
    </w:p>
    <w:p>
      <w:pPr>
        <w:spacing w:line="440" w:lineRule="exact"/>
        <w:rPr>
          <w:rFonts w:hint="eastAsia" w:asciiTheme="minorEastAsia" w:hAnsiTheme="minorEastAsia" w:eastAsiaTheme="minorEastAsia"/>
          <w:color w:val="000000" w:themeColor="text1"/>
          <w:szCs w:val="21"/>
          <w:lang w:eastAsia="zh-TW"/>
          <w14:textFill>
            <w14:solidFill>
              <w14:schemeClr w14:val="tx1"/>
            </w14:solidFill>
          </w14:textFill>
        </w:rPr>
      </w:pPr>
      <w:r>
        <w:rPr>
          <w:rFonts w:hint="eastAsia" w:asciiTheme="minorEastAsia" w:hAnsiTheme="minorEastAsia" w:eastAsiaTheme="minorEastAsia"/>
          <w:color w:val="000000" w:themeColor="text1"/>
          <w:szCs w:val="21"/>
          <w:lang w:eastAsia="zh-TW"/>
          <w14:textFill>
            <w14:solidFill>
              <w14:schemeClr w14:val="tx1"/>
            </w14:solidFill>
          </w14:textFill>
        </w:rPr>
        <w:t>邮  </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lang w:eastAsia="zh-TW"/>
          <w14:textFill>
            <w14:solidFill>
              <w14:schemeClr w14:val="tx1"/>
            </w14:solidFill>
          </w14:textFill>
        </w:rPr>
        <w:t>箱：shangwudasai10@163.com</w:t>
      </w:r>
    </w:p>
    <w:p>
      <w:pPr>
        <w:spacing w:line="440" w:lineRule="exact"/>
        <w:rPr>
          <w:rFonts w:hint="eastAsia" w:asciiTheme="minorEastAsia" w:hAnsiTheme="minorEastAsia" w:eastAsiaTheme="minorEastAsia"/>
          <w:color w:val="000000" w:themeColor="text1"/>
          <w:szCs w:val="21"/>
          <w:lang w:val="en-US" w:eastAsia="zh-TW"/>
          <w14:textFill>
            <w14:solidFill>
              <w14:schemeClr w14:val="tx1"/>
            </w14:solidFill>
          </w14:textFill>
        </w:rPr>
      </w:pPr>
      <w:r>
        <w:rPr>
          <w:rFonts w:hint="eastAsia" w:asciiTheme="minorEastAsia" w:hAnsiTheme="minorEastAsia" w:eastAsiaTheme="minorEastAsia"/>
          <w:color w:val="000000" w:themeColor="text1"/>
          <w:szCs w:val="21"/>
          <w:lang w:eastAsia="zh-TW"/>
          <w14:textFill>
            <w14:solidFill>
              <w14:schemeClr w14:val="tx1"/>
            </w14:solidFill>
          </w14:textFill>
        </w:rPr>
        <w:t xml:space="preserve">网 </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bookmarkStart w:id="0" w:name="_GoBack"/>
      <w:bookmarkEnd w:id="0"/>
      <w:r>
        <w:rPr>
          <w:rFonts w:hint="eastAsia" w:asciiTheme="minorEastAsia" w:hAnsiTheme="minorEastAsia" w:eastAsiaTheme="minorEastAsia"/>
          <w:color w:val="000000" w:themeColor="text1"/>
          <w:szCs w:val="21"/>
          <w:lang w:eastAsia="zh-TW"/>
          <w14:textFill>
            <w14:solidFill>
              <w14:schemeClr w14:val="tx1"/>
            </w14:solidFill>
          </w14:textFill>
        </w:rPr>
        <w:t xml:space="preserve"> 站：www.</w:t>
      </w:r>
      <w:r>
        <w:rPr>
          <w:rFonts w:hint="eastAsia" w:asciiTheme="minorEastAsia" w:hAnsiTheme="minorEastAsia" w:eastAsiaTheme="minorEastAsia"/>
          <w:color w:val="000000" w:themeColor="text1"/>
          <w:szCs w:val="21"/>
          <w:lang w:val="en-US" w:eastAsia="zh-TW"/>
          <w14:textFill>
            <w14:solidFill>
              <w14:schemeClr w14:val="tx1"/>
            </w14:solidFill>
          </w14:textFill>
        </w:rPr>
        <w:t>sdssfw</w:t>
      </w:r>
      <w:r>
        <w:rPr>
          <w:rFonts w:hint="eastAsia" w:asciiTheme="minorEastAsia" w:hAnsiTheme="minorEastAsia" w:eastAsiaTheme="minorEastAsia"/>
          <w:color w:val="000000" w:themeColor="text1"/>
          <w:szCs w:val="21"/>
          <w:lang w:eastAsia="zh-TW"/>
          <w14:textFill>
            <w14:solidFill>
              <w14:schemeClr w14:val="tx1"/>
            </w14:solidFill>
          </w14:textFill>
        </w:rPr>
        <w:t>.</w:t>
      </w:r>
      <w:r>
        <w:rPr>
          <w:rFonts w:hint="eastAsia" w:asciiTheme="minorEastAsia" w:hAnsiTheme="minorEastAsia" w:eastAsiaTheme="minorEastAsia"/>
          <w:color w:val="000000" w:themeColor="text1"/>
          <w:szCs w:val="21"/>
          <w:lang w:val="en-US" w:eastAsia="zh-TW"/>
          <w14:textFill>
            <w14:solidFill>
              <w14:schemeClr w14:val="tx1"/>
            </w14:solidFill>
          </w14:textFill>
        </w:rPr>
        <w:t>com</w:t>
      </w:r>
    </w:p>
    <w:p>
      <w:pPr>
        <w:spacing w:line="440" w:lineRule="exact"/>
        <w:ind w:firstLine="3150" w:firstLineChars="15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w:t>
      </w:r>
    </w:p>
    <w:p>
      <w:pPr>
        <w:widowControl/>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br w:type="page"/>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附：2018年会计与商业管理案例竞赛评委用评分表 —— 学生组</w:t>
      </w:r>
      <w:r>
        <w:rPr>
          <w:rFonts w:asciiTheme="minorEastAsia" w:hAnsiTheme="minorEastAsia" w:eastAsiaTheme="minorEastAsia"/>
          <w:b/>
          <w:color w:val="000000"/>
          <w:sz w:val="28"/>
          <w:szCs w:val="28"/>
        </w:rPr>
        <w:t xml:space="preserve"> </w:t>
      </w:r>
    </w:p>
    <w:p>
      <w:pPr>
        <w:spacing w:after="156" w:afterLines="50"/>
        <w:jc w:val="center"/>
        <w:rPr>
          <w:rFonts w:asciiTheme="minorEastAsia" w:hAnsiTheme="minorEastAsia" w:eastAsiaTheme="minorEastAsia"/>
          <w:b/>
          <w:color w:val="000000"/>
          <w:sz w:val="32"/>
          <w:szCs w:val="32"/>
        </w:rPr>
      </w:pPr>
    </w:p>
    <w:p>
      <w:pPr>
        <w:spacing w:after="156" w:afterLines="50"/>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初赛评分表</w:t>
      </w:r>
    </w:p>
    <w:tbl>
      <w:tblPr>
        <w:tblStyle w:val="12"/>
        <w:tblW w:w="8840"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314"/>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44" w:type="dxa"/>
            <w:vAlign w:val="center"/>
          </w:tcPr>
          <w:p>
            <w:pPr>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案例竞赛报告</w:t>
            </w:r>
          </w:p>
          <w:p>
            <w:pPr>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内容</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（10</w:t>
            </w:r>
            <w:r>
              <w:rPr>
                <w:rFonts w:asciiTheme="minorEastAsia" w:hAnsiTheme="minorEastAsia" w:eastAsiaTheme="minorEastAsia"/>
                <w:b/>
                <w:color w:val="000000"/>
                <w:szCs w:val="21"/>
              </w:rPr>
              <w:t>0</w:t>
            </w:r>
            <w:r>
              <w:rPr>
                <w:rFonts w:hint="eastAsia" w:asciiTheme="minorEastAsia" w:hAnsiTheme="minorEastAsia" w:eastAsiaTheme="minorEastAsia"/>
                <w:b/>
                <w:color w:val="000000"/>
                <w:szCs w:val="21"/>
              </w:rPr>
              <w:t>分）</w:t>
            </w:r>
          </w:p>
        </w:tc>
        <w:tc>
          <w:tcPr>
            <w:tcW w:w="1314"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差</w:t>
            </w:r>
          </w:p>
        </w:tc>
        <w:tc>
          <w:tcPr>
            <w:tcW w:w="1420"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中差</w:t>
            </w:r>
          </w:p>
        </w:tc>
        <w:tc>
          <w:tcPr>
            <w:tcW w:w="1420"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中等</w:t>
            </w:r>
          </w:p>
        </w:tc>
        <w:tc>
          <w:tcPr>
            <w:tcW w:w="1421"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好</w:t>
            </w:r>
          </w:p>
        </w:tc>
        <w:tc>
          <w:tcPr>
            <w:tcW w:w="1421"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44"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内容完整程度</w:t>
            </w:r>
          </w:p>
        </w:tc>
        <w:tc>
          <w:tcPr>
            <w:tcW w:w="1314"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420"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420"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421"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7    8</w:t>
            </w:r>
          </w:p>
        </w:tc>
        <w:tc>
          <w:tcPr>
            <w:tcW w:w="1421"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44"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问题识别</w:t>
            </w:r>
          </w:p>
        </w:tc>
        <w:tc>
          <w:tcPr>
            <w:tcW w:w="1314"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420"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420"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421"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7    8</w:t>
            </w:r>
          </w:p>
        </w:tc>
        <w:tc>
          <w:tcPr>
            <w:tcW w:w="1421"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44"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论述和决策确认的清晰程度</w:t>
            </w:r>
          </w:p>
        </w:tc>
        <w:tc>
          <w:tcPr>
            <w:tcW w:w="1314"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r>
              <w:rPr>
                <w:rFonts w:hint="eastAsia" w:asciiTheme="minorEastAsia" w:hAnsiTheme="minorEastAsia" w:eastAsiaTheme="minorEastAsia"/>
                <w:color w:val="000000"/>
                <w:szCs w:val="21"/>
              </w:rPr>
              <w:t xml:space="preserve">  3  4</w:t>
            </w:r>
          </w:p>
        </w:tc>
        <w:tc>
          <w:tcPr>
            <w:tcW w:w="1420"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7  8</w:t>
            </w:r>
          </w:p>
        </w:tc>
        <w:tc>
          <w:tcPr>
            <w:tcW w:w="1420"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9  10 11 12</w:t>
            </w:r>
          </w:p>
        </w:tc>
        <w:tc>
          <w:tcPr>
            <w:tcW w:w="1421"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14 15 16</w:t>
            </w:r>
          </w:p>
        </w:tc>
        <w:tc>
          <w:tcPr>
            <w:tcW w:w="1421"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17 18 19 20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44"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结论的正确有效性</w:t>
            </w:r>
          </w:p>
        </w:tc>
        <w:tc>
          <w:tcPr>
            <w:tcW w:w="1314"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420"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420"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421"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7    8</w:t>
            </w:r>
          </w:p>
        </w:tc>
        <w:tc>
          <w:tcPr>
            <w:tcW w:w="1421"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44"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财务与会计知识的运用</w:t>
            </w:r>
          </w:p>
        </w:tc>
        <w:tc>
          <w:tcPr>
            <w:tcW w:w="1314"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r>
              <w:rPr>
                <w:rFonts w:hint="eastAsia" w:asciiTheme="minorEastAsia" w:hAnsiTheme="minorEastAsia" w:eastAsiaTheme="minorEastAsia"/>
                <w:color w:val="000000"/>
                <w:szCs w:val="21"/>
              </w:rPr>
              <w:t xml:space="preserve">  3  4</w:t>
            </w:r>
          </w:p>
        </w:tc>
        <w:tc>
          <w:tcPr>
            <w:tcW w:w="1420"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7  8</w:t>
            </w:r>
          </w:p>
        </w:tc>
        <w:tc>
          <w:tcPr>
            <w:tcW w:w="1420"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9  10 11 12</w:t>
            </w:r>
          </w:p>
        </w:tc>
        <w:tc>
          <w:tcPr>
            <w:tcW w:w="1421"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14 15 16</w:t>
            </w:r>
          </w:p>
        </w:tc>
        <w:tc>
          <w:tcPr>
            <w:tcW w:w="1421"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17 18 19 20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44"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财务与会计知识的运用</w:t>
            </w:r>
          </w:p>
        </w:tc>
        <w:tc>
          <w:tcPr>
            <w:tcW w:w="1314"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r>
              <w:rPr>
                <w:rFonts w:hint="eastAsia" w:asciiTheme="minorEastAsia" w:hAnsiTheme="minorEastAsia" w:eastAsiaTheme="minorEastAsia"/>
                <w:color w:val="000000"/>
                <w:szCs w:val="21"/>
              </w:rPr>
              <w:t xml:space="preserve">  3  4</w:t>
            </w:r>
          </w:p>
        </w:tc>
        <w:tc>
          <w:tcPr>
            <w:tcW w:w="1420"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7  8</w:t>
            </w:r>
          </w:p>
        </w:tc>
        <w:tc>
          <w:tcPr>
            <w:tcW w:w="1420"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9  10 11 12</w:t>
            </w:r>
          </w:p>
        </w:tc>
        <w:tc>
          <w:tcPr>
            <w:tcW w:w="1421"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14 15 16</w:t>
            </w:r>
          </w:p>
        </w:tc>
        <w:tc>
          <w:tcPr>
            <w:tcW w:w="1421"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17 18 19 20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44"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报告和阐释形式</w:t>
            </w:r>
          </w:p>
        </w:tc>
        <w:tc>
          <w:tcPr>
            <w:tcW w:w="1314"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420"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420"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421"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7    8</w:t>
            </w:r>
          </w:p>
        </w:tc>
        <w:tc>
          <w:tcPr>
            <w:tcW w:w="1421"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bl>
    <w:p>
      <w:pPr>
        <w:rPr>
          <w:rFonts w:asciiTheme="minorEastAsia" w:hAnsiTheme="minorEastAsia" w:eastAsiaTheme="minorEastAsia"/>
          <w:color w:val="000000"/>
          <w:szCs w:val="21"/>
        </w:rPr>
      </w:pPr>
    </w:p>
    <w:p>
      <w:pPr>
        <w:rPr>
          <w:rFonts w:asciiTheme="minorEastAsia" w:hAnsiTheme="minorEastAsia" w:eastAsiaTheme="minorEastAsia"/>
          <w:color w:val="000000"/>
          <w:szCs w:val="21"/>
        </w:rPr>
      </w:pPr>
    </w:p>
    <w:p>
      <w:pPr>
        <w:widowControl/>
        <w:jc w:val="left"/>
        <w:rPr>
          <w:rFonts w:asciiTheme="minorEastAsia" w:hAnsiTheme="minorEastAsia" w:eastAsiaTheme="minorEastAsia"/>
          <w:color w:val="000000"/>
          <w:szCs w:val="21"/>
        </w:rPr>
      </w:pPr>
    </w:p>
    <w:p>
      <w:pPr>
        <w:widowControl/>
        <w:jc w:val="left"/>
        <w:rPr>
          <w:rFonts w:asciiTheme="minorEastAsia" w:hAnsiTheme="minorEastAsia" w:eastAsiaTheme="minorEastAsia"/>
          <w:color w:val="000000"/>
          <w:szCs w:val="21"/>
        </w:rPr>
      </w:pPr>
      <w:r>
        <w:rPr>
          <w:rFonts w:asciiTheme="minorEastAsia" w:hAnsiTheme="minorEastAsia" w:eastAsiaTheme="minorEastAsia"/>
          <w:color w:val="000000"/>
          <w:szCs w:val="21"/>
        </w:rPr>
        <w:br w:type="page"/>
      </w:r>
    </w:p>
    <w:p>
      <w:pPr>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大陆地区总决赛评分表</w:t>
      </w:r>
    </w:p>
    <w:p>
      <w:pPr>
        <w:jc w:val="center"/>
        <w:rPr>
          <w:rFonts w:asciiTheme="minorEastAsia" w:hAnsiTheme="minorEastAsia" w:eastAsiaTheme="minorEastAsia"/>
          <w:b/>
          <w:color w:val="000000"/>
          <w:szCs w:val="21"/>
        </w:rPr>
      </w:pPr>
    </w:p>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团队编号：</w:t>
      </w:r>
      <w:r>
        <w:rPr>
          <w:rFonts w:asciiTheme="minorEastAsia" w:hAnsiTheme="minorEastAsia" w:eastAsiaTheme="minorEastAsia"/>
          <w:b/>
          <w:color w:val="000000"/>
          <w:szCs w:val="21"/>
        </w:rPr>
        <w:t xml:space="preserve">____________________ </w:t>
      </w:r>
      <w:r>
        <w:rPr>
          <w:rFonts w:hint="eastAsia" w:asciiTheme="minorEastAsia" w:hAnsiTheme="minorEastAsia" w:eastAsiaTheme="minorEastAsia"/>
          <w:b/>
          <w:color w:val="000000"/>
          <w:szCs w:val="21"/>
        </w:rPr>
        <w:t>评判员：</w:t>
      </w:r>
      <w:r>
        <w:rPr>
          <w:rFonts w:asciiTheme="minorEastAsia" w:hAnsiTheme="minorEastAsia" w:eastAsiaTheme="minorEastAsia"/>
          <w:b/>
          <w:color w:val="000000"/>
          <w:szCs w:val="21"/>
        </w:rPr>
        <w:t>_______________________</w:t>
      </w:r>
    </w:p>
    <w:p>
      <w:pPr>
        <w:rPr>
          <w:rFonts w:asciiTheme="minorEastAsia" w:hAnsiTheme="minorEastAsia" w:eastAsiaTheme="minorEastAsia"/>
          <w:color w:val="000000"/>
          <w:szCs w:val="21"/>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257"/>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left"/>
              <w:rPr>
                <w:rFonts w:asciiTheme="minorEastAsia" w:hAnsiTheme="minorEastAsia" w:eastAsiaTheme="minorEastAsia"/>
                <w:b/>
                <w:color w:val="000000"/>
                <w:szCs w:val="21"/>
              </w:rPr>
            </w:pPr>
            <w:r>
              <w:rPr>
                <w:rFonts w:asciiTheme="minorEastAsia" w:hAnsiTheme="minorEastAsia" w:eastAsiaTheme="minorEastAsia"/>
                <w:b/>
                <w:color w:val="000000"/>
                <w:szCs w:val="21"/>
              </w:rPr>
              <w:t xml:space="preserve">a. </w:t>
            </w:r>
            <w:r>
              <w:rPr>
                <w:rFonts w:hint="eastAsia" w:asciiTheme="minorEastAsia" w:hAnsiTheme="minorEastAsia" w:eastAsiaTheme="minorEastAsia"/>
                <w:b/>
                <w:color w:val="000000"/>
                <w:szCs w:val="21"/>
              </w:rPr>
              <w:t>案例竞赛内容（60</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分）：（请注意在问答环节中的现场表现）</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差</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中差</w:t>
            </w:r>
          </w:p>
        </w:tc>
        <w:tc>
          <w:tcPr>
            <w:tcW w:w="125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中等</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好</w:t>
            </w:r>
          </w:p>
        </w:tc>
        <w:tc>
          <w:tcPr>
            <w:tcW w:w="125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内容完整程度</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2</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3      4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7     8</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问题识别</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2</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3      4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7     8</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论述和决策确认的清晰程度</w:t>
            </w:r>
          </w:p>
        </w:tc>
        <w:tc>
          <w:tcPr>
            <w:tcW w:w="125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2</w:t>
            </w:r>
          </w:p>
        </w:tc>
        <w:tc>
          <w:tcPr>
            <w:tcW w:w="125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25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25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7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8</w:t>
            </w:r>
          </w:p>
        </w:tc>
        <w:tc>
          <w:tcPr>
            <w:tcW w:w="125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结论的正确有效性</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7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8</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对问题的切题回应度</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7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8</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报告和阐释形式</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   </w:t>
            </w:r>
            <w:r>
              <w:rPr>
                <w:rFonts w:hint="eastAsia" w:asciiTheme="minorEastAsia" w:hAnsiTheme="minorEastAsia" w:eastAsiaTheme="minorEastAsia"/>
                <w:color w:val="000000"/>
                <w:szCs w:val="21"/>
              </w:rPr>
              <w:t xml:space="preserve">  2</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3      4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7      8</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w:t>
            </w:r>
          </w:p>
        </w:tc>
      </w:tr>
    </w:tbl>
    <w:p>
      <w:pPr>
        <w:rPr>
          <w:rFonts w:asciiTheme="minorEastAsia" w:hAnsiTheme="minorEastAsia" w:eastAsiaTheme="minorEastAsia"/>
          <w:color w:val="000000"/>
          <w:szCs w:val="21"/>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257"/>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35" w:type="dxa"/>
          </w:tcPr>
          <w:p>
            <w:pPr>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b. 演讲技能</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20</w:t>
            </w:r>
            <w:r>
              <w:rPr>
                <w:rFonts w:asciiTheme="minorEastAsia" w:hAnsiTheme="minorEastAsia" w:eastAsiaTheme="minorEastAsia"/>
                <w:b/>
                <w:color w:val="000000"/>
                <w:szCs w:val="21"/>
              </w:rPr>
              <w:t>分）： （请注意在问答环节中的现场表现）</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差</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中差</w:t>
            </w:r>
          </w:p>
        </w:tc>
        <w:tc>
          <w:tcPr>
            <w:tcW w:w="125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中等</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好</w:t>
            </w:r>
          </w:p>
        </w:tc>
        <w:tc>
          <w:tcPr>
            <w:tcW w:w="125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演讲专业程度（包括视觉辅助工具的使用</w:t>
            </w:r>
            <w:r>
              <w:rPr>
                <w:rFonts w:hint="eastAsia" w:asciiTheme="minorEastAsia" w:hAnsiTheme="minorEastAsia" w:eastAsiaTheme="minorEastAsia"/>
                <w:color w:val="000000"/>
                <w:szCs w:val="21"/>
              </w:rPr>
              <w:t>）</w:t>
            </w:r>
          </w:p>
        </w:tc>
        <w:tc>
          <w:tcPr>
            <w:tcW w:w="125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25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25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125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125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演讲</w:t>
            </w:r>
            <w:r>
              <w:rPr>
                <w:rFonts w:asciiTheme="minorEastAsia" w:hAnsiTheme="minorEastAsia" w:eastAsiaTheme="minorEastAsia"/>
                <w:color w:val="000000"/>
                <w:szCs w:val="21"/>
              </w:rPr>
              <w:t>技巧和非语言技巧</w:t>
            </w:r>
          </w:p>
        </w:tc>
        <w:tc>
          <w:tcPr>
            <w:tcW w:w="125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25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25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25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7</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8</w:t>
            </w:r>
          </w:p>
        </w:tc>
        <w:tc>
          <w:tcPr>
            <w:tcW w:w="125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时间分配和团队配合程度</w:t>
            </w:r>
          </w:p>
        </w:tc>
        <w:tc>
          <w:tcPr>
            <w:tcW w:w="125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25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25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125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125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r>
    </w:tbl>
    <w:p>
      <w:pPr>
        <w:jc w:val="center"/>
        <w:rPr>
          <w:rFonts w:asciiTheme="minorEastAsia" w:hAnsiTheme="minorEastAsia" w:eastAsiaTheme="minorEastAsia"/>
          <w:color w:val="000000"/>
          <w:szCs w:val="21"/>
        </w:rPr>
      </w:pPr>
    </w:p>
    <w:tbl>
      <w:tblPr>
        <w:tblStyle w:val="12"/>
        <w:tblpPr w:leftFromText="180" w:rightFromText="180" w:vertAnchor="page" w:horzAnchor="margin" w:tblpY="1140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257"/>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C</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对评论的回应（20分）：</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差</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中差</w:t>
            </w:r>
          </w:p>
        </w:tc>
        <w:tc>
          <w:tcPr>
            <w:tcW w:w="125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中等</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好</w:t>
            </w:r>
          </w:p>
        </w:tc>
        <w:tc>
          <w:tcPr>
            <w:tcW w:w="125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问题识别和反应</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7    8</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团队配合和时间控制</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思考的深度和效度</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r>
    </w:tbl>
    <w:p>
      <w:pPr>
        <w:jc w:val="left"/>
        <w:rPr>
          <w:rFonts w:asciiTheme="minorEastAsia" w:hAnsiTheme="minorEastAsia" w:eastAsiaTheme="minorEastAsia"/>
          <w:color w:val="000000"/>
          <w:szCs w:val="21"/>
        </w:rPr>
      </w:pP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总决赛总分：</w:t>
      </w:r>
      <w:r>
        <w:rPr>
          <w:rFonts w:asciiTheme="minorEastAsia" w:hAnsiTheme="minorEastAsia" w:eastAsiaTheme="minorEastAsia"/>
          <w:color w:val="000000"/>
          <w:szCs w:val="21"/>
        </w:rPr>
        <w:t xml:space="preserve">______________ </w:t>
      </w:r>
    </w:p>
    <w:p>
      <w:pPr>
        <w:widowControl/>
        <w:jc w:val="left"/>
        <w:rPr>
          <w:rFonts w:asciiTheme="minorEastAsia" w:hAnsiTheme="minorEastAsia" w:eastAsiaTheme="minorEastAsia"/>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8849565"/>
    </w:sdtPr>
    <w:sdtContent>
      <w:p>
        <w:pPr>
          <w:pStyle w:val="5"/>
          <w:jc w:val="center"/>
        </w:pPr>
        <w:r>
          <w:fldChar w:fldCharType="begin"/>
        </w:r>
        <w:r>
          <w:instrText xml:space="preserve">PAGE   \* MERGEFORMAT</w:instrText>
        </w:r>
        <w:r>
          <w:fldChar w:fldCharType="separate"/>
        </w:r>
        <w:r>
          <w:rPr>
            <w:lang w:val="zh-CN"/>
          </w:rPr>
          <w:t>6</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709DE"/>
    <w:multiLevelType w:val="multilevel"/>
    <w:tmpl w:val="422709DE"/>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6792F07"/>
    <w:multiLevelType w:val="multilevel"/>
    <w:tmpl w:val="56792F0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819B016"/>
    <w:multiLevelType w:val="singleLevel"/>
    <w:tmpl w:val="5819B016"/>
    <w:lvl w:ilvl="0" w:tentative="0">
      <w:start w:val="1"/>
      <w:numFmt w:val="decimalEnclosedCircleChinese"/>
      <w:suff w:val="nothing"/>
      <w:lvlText w:val="%1　"/>
      <w:lvlJc w:val="left"/>
      <w:pPr>
        <w:ind w:left="0" w:firstLine="400"/>
      </w:pPr>
      <w:rPr>
        <w:rFonts w:hint="eastAsia"/>
      </w:rPr>
    </w:lvl>
  </w:abstractNum>
  <w:abstractNum w:abstractNumId="3">
    <w:nsid w:val="5819B02E"/>
    <w:multiLevelType w:val="singleLevel"/>
    <w:tmpl w:val="5819B02E"/>
    <w:lvl w:ilvl="0" w:tentative="0">
      <w:start w:val="1"/>
      <w:numFmt w:val="decimalEnclosedCircleChinese"/>
      <w:suff w:val="nothing"/>
      <w:lvlText w:val="%1　"/>
      <w:lvlJc w:val="left"/>
      <w:pPr>
        <w:ind w:left="0" w:firstLine="400"/>
      </w:pPr>
      <w:rPr>
        <w:rFonts w:hint="eastAsia"/>
      </w:rPr>
    </w:lvl>
  </w:abstractNum>
  <w:abstractNum w:abstractNumId="4">
    <w:nsid w:val="59C0D326"/>
    <w:multiLevelType w:val="singleLevel"/>
    <w:tmpl w:val="59C0D326"/>
    <w:lvl w:ilvl="0" w:tentative="0">
      <w:start w:val="2"/>
      <w:numFmt w:val="chineseCounting"/>
      <w:suff w:val="nothing"/>
      <w:lvlText w:val="（%1）"/>
      <w:lvlJc w:val="left"/>
    </w:lvl>
  </w:abstractNum>
  <w:abstractNum w:abstractNumId="5">
    <w:nsid w:val="59C0D380"/>
    <w:multiLevelType w:val="singleLevel"/>
    <w:tmpl w:val="59C0D380"/>
    <w:lvl w:ilvl="0" w:tentative="0">
      <w:start w:val="3"/>
      <w:numFmt w:val="chineseCounting"/>
      <w:suff w:val="nothing"/>
      <w:lvlText w:val="（%1）"/>
      <w:lvlJc w:val="left"/>
    </w:lvl>
  </w:abstractNum>
  <w:abstractNum w:abstractNumId="6">
    <w:nsid w:val="65D15972"/>
    <w:multiLevelType w:val="multilevel"/>
    <w:tmpl w:val="65D15972"/>
    <w:lvl w:ilvl="0" w:tentative="0">
      <w:start w:val="2"/>
      <w:numFmt w:val="bullet"/>
      <w:lvlText w:val="●"/>
      <w:lvlJc w:val="left"/>
      <w:pPr>
        <w:ind w:left="1200" w:hanging="360"/>
      </w:pPr>
      <w:rPr>
        <w:rFonts w:hint="eastAsia" w:ascii="微软雅黑" w:hAnsi="微软雅黑" w:eastAsia="微软雅黑"/>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4"/>
  </w:num>
  <w:num w:numId="2">
    <w:abstractNumId w:val="0"/>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C1"/>
    <w:rsid w:val="0001534C"/>
    <w:rsid w:val="00037978"/>
    <w:rsid w:val="000623E3"/>
    <w:rsid w:val="00065A5E"/>
    <w:rsid w:val="0008484E"/>
    <w:rsid w:val="000A7A2E"/>
    <w:rsid w:val="000B6306"/>
    <w:rsid w:val="0011504A"/>
    <w:rsid w:val="0017331B"/>
    <w:rsid w:val="00176BD9"/>
    <w:rsid w:val="001E443E"/>
    <w:rsid w:val="0020266A"/>
    <w:rsid w:val="00240236"/>
    <w:rsid w:val="002634A2"/>
    <w:rsid w:val="0028054C"/>
    <w:rsid w:val="00282234"/>
    <w:rsid w:val="002D44B6"/>
    <w:rsid w:val="003051A4"/>
    <w:rsid w:val="0035794C"/>
    <w:rsid w:val="00373B56"/>
    <w:rsid w:val="003D2101"/>
    <w:rsid w:val="003D3CAB"/>
    <w:rsid w:val="00400C29"/>
    <w:rsid w:val="00451E01"/>
    <w:rsid w:val="00454E13"/>
    <w:rsid w:val="004A48BA"/>
    <w:rsid w:val="0050264C"/>
    <w:rsid w:val="00525F6F"/>
    <w:rsid w:val="00533500"/>
    <w:rsid w:val="00545047"/>
    <w:rsid w:val="00572672"/>
    <w:rsid w:val="005E7031"/>
    <w:rsid w:val="0062020D"/>
    <w:rsid w:val="00664BC1"/>
    <w:rsid w:val="0068094F"/>
    <w:rsid w:val="006A2CD8"/>
    <w:rsid w:val="006B6DD4"/>
    <w:rsid w:val="006D23BC"/>
    <w:rsid w:val="006E24F2"/>
    <w:rsid w:val="00734914"/>
    <w:rsid w:val="00736759"/>
    <w:rsid w:val="00762C68"/>
    <w:rsid w:val="007E36AD"/>
    <w:rsid w:val="007E3BDC"/>
    <w:rsid w:val="008012BF"/>
    <w:rsid w:val="00836118"/>
    <w:rsid w:val="008458EA"/>
    <w:rsid w:val="008B7B64"/>
    <w:rsid w:val="00912840"/>
    <w:rsid w:val="009161E7"/>
    <w:rsid w:val="0096583D"/>
    <w:rsid w:val="0099798E"/>
    <w:rsid w:val="009B0405"/>
    <w:rsid w:val="009C1C80"/>
    <w:rsid w:val="009C388C"/>
    <w:rsid w:val="009D7A75"/>
    <w:rsid w:val="009F392F"/>
    <w:rsid w:val="00A00A91"/>
    <w:rsid w:val="00A067B7"/>
    <w:rsid w:val="00A10AD3"/>
    <w:rsid w:val="00A24624"/>
    <w:rsid w:val="00B23715"/>
    <w:rsid w:val="00B31650"/>
    <w:rsid w:val="00BB352B"/>
    <w:rsid w:val="00BB66DB"/>
    <w:rsid w:val="00BF0901"/>
    <w:rsid w:val="00C04193"/>
    <w:rsid w:val="00C07F4E"/>
    <w:rsid w:val="00C150B5"/>
    <w:rsid w:val="00C56D13"/>
    <w:rsid w:val="00C95B5A"/>
    <w:rsid w:val="00CB6270"/>
    <w:rsid w:val="00D1721D"/>
    <w:rsid w:val="00D30A41"/>
    <w:rsid w:val="00E204BA"/>
    <w:rsid w:val="00E27A57"/>
    <w:rsid w:val="00E400A3"/>
    <w:rsid w:val="00E4166E"/>
    <w:rsid w:val="00E76CE9"/>
    <w:rsid w:val="00E869B4"/>
    <w:rsid w:val="00EA18AD"/>
    <w:rsid w:val="00ED049A"/>
    <w:rsid w:val="00EE22CD"/>
    <w:rsid w:val="00EF1396"/>
    <w:rsid w:val="00F22242"/>
    <w:rsid w:val="00F74763"/>
    <w:rsid w:val="00F8121A"/>
    <w:rsid w:val="00FA76EC"/>
    <w:rsid w:val="00FF33E5"/>
    <w:rsid w:val="00FF6018"/>
    <w:rsid w:val="04C7321D"/>
    <w:rsid w:val="20C310F3"/>
    <w:rsid w:val="376B05C7"/>
    <w:rsid w:val="49720CB3"/>
    <w:rsid w:val="4DAA5405"/>
    <w:rsid w:val="577D165B"/>
    <w:rsid w:val="593877E8"/>
    <w:rsid w:val="62AF6DD9"/>
    <w:rsid w:val="62C4105C"/>
    <w:rsid w:val="69211935"/>
    <w:rsid w:val="7A120FF9"/>
  </w:rsids>
  <m:mathPr>
    <m:mathFont m:val="Cambria Math"/>
    <m:brkBin m:val="before"/>
    <m:brkBinSub m:val="--"/>
    <m:smallFrac m:val="0"/>
    <m:dispDef/>
    <m:lMargin m:val="0"/>
    <m:rMargin m:val="0"/>
    <m:defJc m:val="centerGroup"/>
    <m:wrapIndent m:val="1440"/>
    <m:intLim m:val="subSup"/>
    <m:naryLim m:val="undOvr"/>
  </m:mathPr>
  <w:attachedSchema w:val="http://www.founder.com/pam"/>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0"/>
    <w:unhideWhenUsed/>
    <w:qFormat/>
    <w:uiPriority w:val="99"/>
    <w:rPr>
      <w:b/>
      <w:bCs/>
    </w:rPr>
  </w:style>
  <w:style w:type="paragraph" w:styleId="3">
    <w:name w:val="annotation text"/>
    <w:basedOn w:val="1"/>
    <w:link w:val="14"/>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unhideWhenUsed/>
    <w:qFormat/>
    <w:uiPriority w:val="99"/>
    <w:rPr>
      <w:sz w:val="21"/>
      <w:szCs w:val="21"/>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批注文字 Char"/>
    <w:basedOn w:val="9"/>
    <w:link w:val="3"/>
    <w:semiHidden/>
    <w:qFormat/>
    <w:uiPriority w:val="99"/>
    <w:rPr>
      <w:rFonts w:ascii="Calibri" w:hAnsi="Calibri" w:eastAsia="宋体" w:cs="Times New Roman"/>
    </w:rPr>
  </w:style>
  <w:style w:type="character" w:customStyle="1" w:styleId="15">
    <w:name w:val="批注框文本 Char"/>
    <w:basedOn w:val="9"/>
    <w:link w:val="4"/>
    <w:semiHidden/>
    <w:qFormat/>
    <w:uiPriority w:val="99"/>
    <w:rPr>
      <w:rFonts w:ascii="Calibri" w:hAnsi="Calibri" w:eastAsia="宋体" w:cs="Times New Roman"/>
      <w:sz w:val="18"/>
      <w:szCs w:val="18"/>
    </w:rPr>
  </w:style>
  <w:style w:type="character" w:customStyle="1" w:styleId="16">
    <w:name w:val="页眉 Char"/>
    <w:basedOn w:val="9"/>
    <w:link w:val="6"/>
    <w:qFormat/>
    <w:uiPriority w:val="99"/>
    <w:rPr>
      <w:rFonts w:ascii="Calibri" w:hAnsi="Calibri" w:eastAsia="宋体" w:cs="Times New Roman"/>
      <w:sz w:val="18"/>
      <w:szCs w:val="18"/>
    </w:rPr>
  </w:style>
  <w:style w:type="character" w:customStyle="1" w:styleId="17">
    <w:name w:val="页脚 Char"/>
    <w:basedOn w:val="9"/>
    <w:link w:val="5"/>
    <w:qFormat/>
    <w:uiPriority w:val="99"/>
    <w:rPr>
      <w:rFonts w:ascii="Calibri" w:hAnsi="Calibri" w:eastAsia="宋体" w:cs="Times New Roman"/>
      <w:sz w:val="18"/>
      <w:szCs w:val="18"/>
    </w:rPr>
  </w:style>
  <w:style w:type="paragraph" w:customStyle="1" w:styleId="18">
    <w:name w:val="列出段落1"/>
    <w:basedOn w:val="1"/>
    <w:qFormat/>
    <w:uiPriority w:val="34"/>
    <w:pPr>
      <w:ind w:firstLine="420" w:firstLineChars="200"/>
    </w:pPr>
  </w:style>
  <w:style w:type="character" w:customStyle="1" w:styleId="19">
    <w:name w:val="HTML 预设格式 Char"/>
    <w:basedOn w:val="9"/>
    <w:link w:val="7"/>
    <w:qFormat/>
    <w:uiPriority w:val="99"/>
    <w:rPr>
      <w:rFonts w:ascii="宋体" w:hAnsi="宋体" w:eastAsia="宋体" w:cs="宋体"/>
      <w:sz w:val="24"/>
      <w:szCs w:val="24"/>
    </w:rPr>
  </w:style>
  <w:style w:type="character" w:customStyle="1" w:styleId="20">
    <w:name w:val="批注主题 Char"/>
    <w:basedOn w:val="14"/>
    <w:link w:val="2"/>
    <w:semiHidden/>
    <w:qFormat/>
    <w:uiPriority w:val="99"/>
    <w:rPr>
      <w:rFonts w:ascii="Calibri" w:hAnsi="Calibri" w:eastAsia="宋体" w:cs="Times New Roman"/>
      <w:b/>
      <w:bCs/>
      <w:kern w:val="2"/>
      <w:sz w:val="21"/>
      <w:szCs w:val="22"/>
    </w:rPr>
  </w:style>
  <w:style w:type="table" w:customStyle="1" w:styleId="21">
    <w:name w:val="网格型1"/>
    <w:basedOn w:val="1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730</Words>
  <Characters>4161</Characters>
  <Lines>34</Lines>
  <Paragraphs>9</Paragraphs>
  <TotalTime>0</TotalTime>
  <ScaleCrop>false</ScaleCrop>
  <LinksUpToDate>false</LinksUpToDate>
  <CharactersWithSpaces>4882</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2017-09-25T03:47:00Z</dcterms:created>
  <dc:creator>Lenovo</dc:creator>
  <cp:lastModifiedBy>Administrator</cp:lastModifiedBy>
  <dcterms:modified xsi:type="dcterms:W3CDTF">2017-10-10T03:42:29Z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