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全国高校商业精英挑战赛“启课程杯”</w:t>
      </w:r>
    </w:p>
    <w:p>
      <w:pPr>
        <w:spacing w:line="6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会计与商业管理案例竞赛</w:t>
      </w:r>
    </w:p>
    <w:p>
      <w:pPr>
        <w:spacing w:line="60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——教师组竞赛细则</w:t>
      </w:r>
    </w:p>
    <w:p>
      <w:pPr>
        <w:spacing w:line="600" w:lineRule="exact"/>
        <w:jc w:val="center"/>
        <w:rPr>
          <w:rFonts w:asciiTheme="minorEastAsia" w:hAnsiTheme="minorEastAsia" w:eastAsiaTheme="minorEastAsia"/>
          <w:b/>
          <w:sz w:val="36"/>
          <w:szCs w:val="36"/>
        </w:rPr>
      </w:pPr>
    </w:p>
    <w:p>
      <w:pPr>
        <w:spacing w:line="440" w:lineRule="exact"/>
        <w:ind w:firstLine="630" w:firstLine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为进一步贯彻落实财政部《会计改革与发展“十三五”规划纲要》中明确提出的要“推进管理会计广泛应用”和“加快推进管理会计人才培养，力争到2020 年培养3万名精于理财、善于管理和决策的管理会计人才”的要求，促进两岸四地会计教育的互动与交流，中国国际商会商业行业商会和中国商业会计学会联合举办“启课程杯”第五届会计与商业管理案例竞赛大陆地区选拔赛，由商业国际交流合作培训中心承办，纳入全国高校商业精英挑战赛系列常规赛事。同时，此次竞赛将联合会计教育转型发展校企联盟组织教师组比赛，将管理会计实践及课程设计纳入竞赛范畴，为高校管理会计人才培养提供切实依据与实践平台。</w:t>
      </w:r>
    </w:p>
    <w:p>
      <w:pPr>
        <w:spacing w:line="440" w:lineRule="exact"/>
        <w:ind w:firstLine="630" w:firstLineChars="300"/>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一、竞赛目的</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1.</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 xml:space="preserve">增强教师对管理会计在企业中应用场景的认识： </w:t>
      </w:r>
      <w:r>
        <w:rPr>
          <w:rFonts w:cs="宋体" w:asciiTheme="minorEastAsia" w:hAnsiTheme="minorEastAsia" w:eastAsiaTheme="minorEastAsia"/>
          <w:color w:val="000000" w:themeColor="text1"/>
          <w:kern w:val="0"/>
          <w:szCs w:val="21"/>
          <w14:textFill>
            <w14:solidFill>
              <w14:schemeClr w14:val="tx1"/>
            </w14:solidFill>
          </w14:textFill>
        </w:rPr>
        <w:t>通过咨询公司</w:t>
      </w:r>
      <w:r>
        <w:rPr>
          <w:rFonts w:hint="eastAsia" w:cs="宋体" w:asciiTheme="minorEastAsia" w:hAnsiTheme="minorEastAsia" w:eastAsiaTheme="minorEastAsia"/>
          <w:color w:val="000000" w:themeColor="text1"/>
          <w:kern w:val="0"/>
          <w:szCs w:val="21"/>
          <w14:textFill>
            <w14:solidFill>
              <w14:schemeClr w14:val="tx1"/>
            </w14:solidFill>
          </w14:textFill>
        </w:rPr>
        <w:t>接触企业鲜活案例，以财务总监身份亲历</w:t>
      </w:r>
      <w:r>
        <w:rPr>
          <w:rFonts w:hint="eastAsia" w:asciiTheme="minorEastAsia" w:hAnsiTheme="minorEastAsia" w:eastAsiaTheme="minorEastAsia"/>
          <w:color w:val="000000" w:themeColor="text1"/>
          <w:szCs w:val="21"/>
          <w14:textFill>
            <w14:solidFill>
              <w14:schemeClr w14:val="tx1"/>
            </w14:solidFill>
          </w14:textFill>
        </w:rPr>
        <w:t>企业实践、模拟管理和管理会计决策，参与管理会计报告设计，与企业高管面对面进行月度经营情况汇报，让选手能站在管理层角度思考问题，帮助非财务专业的管理者及业务负责人读懂财务数据。增强选手对管理会计在企业中应用场景的认识及实践设计的能力。</w:t>
      </w:r>
    </w:p>
    <w:p>
      <w:pPr>
        <w:pStyle w:val="8"/>
        <w:shd w:val="clear" w:color="auto" w:fill="FFFFFF"/>
        <w:spacing w:before="0" w:beforeAutospacing="0" w:after="0" w:afterAutospacing="0" w:line="440" w:lineRule="exac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w:t>
      </w:r>
      <w:r>
        <w:rPr>
          <w:rFonts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14:textFill>
            <w14:solidFill>
              <w14:schemeClr w14:val="tx1"/>
            </w14:solidFill>
          </w14:textFill>
        </w:rPr>
        <w:t xml:space="preserve"> 加强教师创新课程设计能力： 结合在初赛中参与管理会计报告设计的经验，将其转化成可以用于启发学生了解企业管理会计实践的课程，并应用智慧教辅工具调动学生的参与与反馈，</w:t>
      </w:r>
      <w:r>
        <w:rPr>
          <w:rFonts w:asciiTheme="minorEastAsia" w:hAnsiTheme="minorEastAsia" w:eastAsiaTheme="minorEastAsia"/>
          <w:color w:val="000000" w:themeColor="text1"/>
          <w:sz w:val="21"/>
          <w:szCs w:val="21"/>
          <w14:textFill>
            <w14:solidFill>
              <w14:schemeClr w14:val="tx1"/>
            </w14:solidFill>
          </w14:textFill>
        </w:rPr>
        <w:t>增强创新课程设计能力</w:t>
      </w:r>
      <w:r>
        <w:rPr>
          <w:rFonts w:hint="eastAsia" w:asciiTheme="minorEastAsia" w:hAnsiTheme="minorEastAsia" w:eastAsiaTheme="minorEastAsia"/>
          <w:color w:val="000000" w:themeColor="text1"/>
          <w:sz w:val="21"/>
          <w:szCs w:val="21"/>
          <w14:textFill>
            <w14:solidFill>
              <w14:schemeClr w14:val="tx1"/>
            </w14:solidFill>
          </w14:textFill>
        </w:rPr>
        <w:t>。</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获得证书、横向课题等奖励。</w:t>
      </w:r>
      <w:r>
        <w:rPr>
          <w:rFonts w:asciiTheme="minorEastAsia" w:hAnsiTheme="minorEastAsia" w:eastAsiaTheme="minorEastAsia"/>
          <w:color w:val="000000" w:themeColor="text1"/>
          <w:szCs w:val="21"/>
          <w14:textFill>
            <w14:solidFill>
              <w14:schemeClr w14:val="tx1"/>
            </w14:solidFill>
          </w14:textFill>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二、竞赛组织</w:t>
      </w:r>
    </w:p>
    <w:p>
      <w:pPr>
        <w:spacing w:line="440" w:lineRule="exact"/>
        <w:ind w:firstLine="632" w:firstLineChars="300"/>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主办单位：</w:t>
      </w:r>
    </w:p>
    <w:p>
      <w:pPr>
        <w:spacing w:line="440" w:lineRule="exact"/>
        <w:ind w:firstLine="630" w:firstLineChars="3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ind w:firstLine="630" w:firstLineChars="3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中国商业会计学会</w:t>
      </w:r>
    </w:p>
    <w:p>
      <w:pPr>
        <w:spacing w:line="440" w:lineRule="exact"/>
        <w:rPr>
          <w:rFonts w:asciiTheme="minorEastAsia" w:hAnsiTheme="minorEastAsia" w:eastAsiaTheme="minorEastAsia" w:cstheme="minorBidi"/>
          <w:b/>
          <w:color w:val="000000" w:themeColor="text1"/>
          <w:szCs w:val="21"/>
          <w14:textFill>
            <w14:solidFill>
              <w14:schemeClr w14:val="tx1"/>
            </w14:solidFill>
          </w14:textFill>
        </w:rPr>
      </w:pPr>
      <w:r>
        <w:rPr>
          <w:rFonts w:asciiTheme="minorEastAsia" w:hAnsiTheme="minorEastAsia" w:eastAsiaTheme="minorEastAsia" w:cstheme="minorBidi"/>
          <w:b/>
          <w:color w:val="000000" w:themeColor="text1"/>
          <w:szCs w:val="21"/>
          <w14:textFill>
            <w14:solidFill>
              <w14:schemeClr w14:val="tx1"/>
            </w14:solidFill>
          </w14:textFill>
        </w:rPr>
        <w:t xml:space="preserve">      </w:t>
      </w:r>
      <w:r>
        <w:rPr>
          <w:rFonts w:hint="eastAsia" w:asciiTheme="minorEastAsia" w:hAnsiTheme="minorEastAsia" w:eastAsiaTheme="minorEastAsia" w:cstheme="minorBidi"/>
          <w:b/>
          <w:color w:val="000000" w:themeColor="text1"/>
          <w:szCs w:val="21"/>
          <w14:textFill>
            <w14:solidFill>
              <w14:schemeClr w14:val="tx1"/>
            </w14:solidFill>
          </w14:textFill>
        </w:rPr>
        <w:t>承办单位：</w:t>
      </w:r>
    </w:p>
    <w:p>
      <w:pPr>
        <w:spacing w:line="440" w:lineRule="exact"/>
        <w:ind w:firstLine="630" w:firstLineChars="3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 xml:space="preserve">      商业国际交流合作培训中心</w:t>
      </w:r>
    </w:p>
    <w:p>
      <w:pPr>
        <w:spacing w:line="440" w:lineRule="exact"/>
        <w:ind w:firstLine="632" w:firstLineChars="300"/>
        <w:rPr>
          <w:rFonts w:asciiTheme="minorEastAsia" w:hAnsiTheme="minorEastAsia" w:eastAsiaTheme="minorEastAsia" w:cstheme="minorBidi"/>
          <w:b/>
          <w:szCs w:val="21"/>
        </w:rPr>
      </w:pPr>
      <w:r>
        <w:rPr>
          <w:rFonts w:hint="eastAsia" w:asciiTheme="minorEastAsia" w:hAnsiTheme="minorEastAsia" w:eastAsiaTheme="minorEastAsia" w:cstheme="minorBidi"/>
          <w:b/>
          <w:color w:val="000000" w:themeColor="text1"/>
          <w:szCs w:val="21"/>
          <w14:textFill>
            <w14:solidFill>
              <w14:schemeClr w14:val="tx1"/>
            </w14:solidFill>
          </w14:textFill>
        </w:rPr>
        <w:t>特别</w:t>
      </w:r>
      <w:r>
        <w:rPr>
          <w:rFonts w:hint="eastAsia" w:asciiTheme="minorEastAsia" w:hAnsiTheme="minorEastAsia" w:eastAsiaTheme="minorEastAsia" w:cstheme="minorBidi"/>
          <w:b/>
          <w:szCs w:val="21"/>
        </w:rPr>
        <w:t>支持单位：</w:t>
      </w:r>
    </w:p>
    <w:p>
      <w:pPr>
        <w:spacing w:line="440" w:lineRule="exact"/>
        <w:ind w:firstLine="630" w:firstLineChars="3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北京启课程科技有限公司</w:t>
      </w:r>
    </w:p>
    <w:p>
      <w:pPr>
        <w:spacing w:line="440" w:lineRule="exact"/>
        <w:ind w:firstLine="630" w:firstLineChars="3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会计教育转型发展校企联盟</w:t>
      </w:r>
    </w:p>
    <w:p>
      <w:pPr>
        <w:spacing w:line="440" w:lineRule="exact"/>
        <w:ind w:firstLine="630" w:firstLineChars="3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北京康思迪管理咨询有限公司</w:t>
      </w:r>
    </w:p>
    <w:p>
      <w:pPr>
        <w:spacing w:line="440" w:lineRule="exact"/>
        <w:ind w:firstLine="630" w:firstLineChars="300"/>
        <w:rPr>
          <w:rFonts w:asciiTheme="minorEastAsia" w:hAnsiTheme="minorEastAsia" w:eastAsiaTheme="minorEastAsia" w:cstheme="minorBidi"/>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三、竞赛赛程和形式</w:t>
      </w:r>
      <w:r>
        <w:rPr>
          <w:rFonts w:asciiTheme="minorEastAsia" w:hAnsiTheme="minorEastAsia" w:eastAsiaTheme="minorEastAsia"/>
          <w:color w:val="000000" w:themeColor="text1"/>
          <w:sz w:val="28"/>
          <w:szCs w:val="28"/>
          <w14:textFill>
            <w14:solidFill>
              <w14:schemeClr w14:val="tx1"/>
            </w14:solidFill>
          </w14:textFill>
        </w:rPr>
        <w:t xml:space="preserve"> </w:t>
      </w:r>
    </w:p>
    <w:p>
      <w:pPr>
        <w:kinsoku w:val="0"/>
        <w:overflowPunct w:val="0"/>
        <w:autoSpaceDE w:val="0"/>
        <w:autoSpaceDN w:val="0"/>
        <w:adjustRightInd w:val="0"/>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（一） 报名  </w:t>
      </w:r>
      <w:r>
        <w:rPr>
          <w:rFonts w:hint="eastAsia" w:asciiTheme="minorEastAsia" w:hAnsiTheme="minorEastAsia" w:eastAsiaTheme="minorEastAsia"/>
          <w:color w:val="000000" w:themeColor="text1"/>
          <w:szCs w:val="21"/>
          <w14:textFill>
            <w14:solidFill>
              <w14:schemeClr w14:val="tx1"/>
            </w14:solidFill>
          </w14:textFill>
        </w:rPr>
        <w:t xml:space="preserve">        </w:t>
      </w:r>
    </w:p>
    <w:p>
      <w:pPr>
        <w:kinsoku w:val="0"/>
        <w:overflowPunct w:val="0"/>
        <w:autoSpaceDE w:val="0"/>
        <w:autoSpaceDN w:val="0"/>
        <w:adjustRightInd w:val="0"/>
        <w:spacing w:line="440" w:lineRule="exact"/>
        <w:ind w:firstLine="420" w:firstLineChars="200"/>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2018</w:t>
      </w:r>
      <w:r>
        <w:rPr>
          <w:rFonts w:hint="eastAsia" w:asciiTheme="minorEastAsia" w:hAnsiTheme="minorEastAsia" w:eastAsiaTheme="minorEastAsia"/>
          <w:color w:val="000000" w:themeColor="text1"/>
          <w:szCs w:val="21"/>
          <w14:textFill>
            <w14:solidFill>
              <w14:schemeClr w14:val="tx1"/>
            </w14:solidFill>
          </w14:textFill>
        </w:rPr>
        <w:t>年3月1日前，递交参赛报名表发送至：</w:t>
      </w:r>
      <w:r>
        <w:rPr>
          <w:rFonts w:hint="eastAsia" w:asciiTheme="minorEastAsia" w:hAnsiTheme="minorEastAsia" w:eastAsiaTheme="minorEastAsia"/>
          <w:color w:val="000000" w:themeColor="text1"/>
          <w:szCs w:val="21"/>
          <w:lang w:val="en-US" w:eastAsia="zh-CN"/>
          <w14:textFill>
            <w14:solidFill>
              <w14:schemeClr w14:val="tx1"/>
            </w14:solidFill>
          </w14:textFill>
        </w:rPr>
        <w:t>shangwudasai10</w:t>
      </w:r>
      <w:r>
        <w:rPr>
          <w:rFonts w:hint="eastAsia" w:asciiTheme="minorEastAsia" w:hAnsiTheme="minorEastAsia" w:eastAsiaTheme="minorEastAsia"/>
          <w:color w:val="000000" w:themeColor="text1"/>
          <w:szCs w:val="21"/>
          <w14:textFill>
            <w14:solidFill>
              <w14:schemeClr w14:val="tx1"/>
            </w14:solidFill>
          </w14:textFill>
        </w:rPr>
        <w:t xml:space="preserve">@163.com  </w:t>
      </w:r>
    </w:p>
    <w:p>
      <w:pPr>
        <w:kinsoku w:val="0"/>
        <w:overflowPunct w:val="0"/>
        <w:autoSpaceDE w:val="0"/>
        <w:autoSpaceDN w:val="0"/>
        <w:adjustRightInd w:val="0"/>
        <w:spacing w:line="440" w:lineRule="exact"/>
        <w:ind w:firstLine="422" w:firstLineChars="20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11月初，将在比赛官网公布企业案例背景资料。</w:t>
      </w:r>
      <w:r>
        <w:fldChar w:fldCharType="begin"/>
      </w:r>
      <w:r>
        <w:instrText xml:space="preserve"> HYPERLINK "http://www.qicourse.cn/cubc.html" </w:instrText>
      </w:r>
      <w:r>
        <w:fldChar w:fldCharType="separate"/>
      </w:r>
      <w:r>
        <w:rPr>
          <w:rStyle w:val="10"/>
          <w:rFonts w:asciiTheme="minorEastAsia" w:hAnsiTheme="minorEastAsia" w:eastAsiaTheme="minorEastAsia"/>
          <w:b/>
          <w:szCs w:val="21"/>
        </w:rPr>
        <w:t>http://www.qicourse.cn/cubc.html</w:t>
      </w:r>
      <w:r>
        <w:rPr>
          <w:rStyle w:val="10"/>
          <w:rFonts w:asciiTheme="minorEastAsia" w:hAnsiTheme="minorEastAsia" w:eastAsiaTheme="minorEastAsia"/>
          <w:b/>
          <w:szCs w:val="21"/>
        </w:rPr>
        <w:fldChar w:fldCharType="end"/>
      </w:r>
    </w:p>
    <w:p>
      <w:pPr>
        <w:kinsoku w:val="0"/>
        <w:overflowPunct w:val="0"/>
        <w:autoSpaceDE w:val="0"/>
        <w:autoSpaceDN w:val="0"/>
        <w:adjustRightInd w:val="0"/>
        <w:spacing w:line="440" w:lineRule="exact"/>
        <w:ind w:left="629"/>
        <w:jc w:val="left"/>
        <w:rPr>
          <w:rFonts w:asciiTheme="minorEastAsia" w:hAnsiTheme="minorEastAsia" w:eastAsiaTheme="minorEastAsia"/>
          <w:color w:val="000000" w:themeColor="text1"/>
          <w:szCs w:val="21"/>
          <w14:textFill>
            <w14:solidFill>
              <w14:schemeClr w14:val="tx1"/>
            </w14:solidFill>
          </w14:textFill>
        </w:rPr>
      </w:pP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（二） 初赛与入围</w:t>
      </w:r>
      <w:r>
        <w:rPr>
          <w:rFonts w:hint="eastAsia" w:asciiTheme="minorEastAsia" w:hAnsiTheme="minorEastAsia" w:eastAsiaTheme="minorEastAsia"/>
          <w:color w:val="000000" w:themeColor="text1"/>
          <w:szCs w:val="21"/>
          <w14:textFill>
            <w14:solidFill>
              <w14:schemeClr w14:val="tx1"/>
            </w14:solidFill>
          </w14:textFill>
        </w:rPr>
        <w:t xml:space="preserve">      </w:t>
      </w:r>
    </w:p>
    <w:p>
      <w:pPr>
        <w:spacing w:line="440" w:lineRule="exact"/>
        <w:ind w:firstLine="630" w:firstLine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2018年3月初参赛教师递交报名表和参赛方案。   </w:t>
      </w:r>
    </w:p>
    <w:p>
      <w:pPr>
        <w:spacing w:line="440" w:lineRule="exact"/>
        <w:ind w:firstLine="630" w:firstLine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2018年3月底前评审出进入大陆地区总决赛的选手。</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初赛形式： 提交月度经营报告                         </w:t>
      </w:r>
    </w:p>
    <w:p>
      <w:pPr>
        <w:spacing w:line="440" w:lineRule="exact"/>
        <w:ind w:left="210" w:leftChars="100"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各参赛选手作为财务总监（线下可采取组队形式，成员可包括教师或学生，每队不超过5人），以组委会下发的企业案例为基础，设计该企业的月度经营报告，以反映企业目前的经营情况和在经营过程中产生的问题。</w:t>
      </w:r>
    </w:p>
    <w:p>
      <w:pPr>
        <w:spacing w:line="440" w:lineRule="exact"/>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1. 月度经营报告以PPT形式呈现，应当包括（但不限于）以下要素：</w:t>
      </w:r>
      <w:r>
        <w:rPr>
          <w:rFonts w:asciiTheme="minorEastAsia" w:hAnsiTheme="minorEastAsia" w:eastAsiaTheme="minorEastAsia"/>
          <w:b/>
          <w:color w:val="000000" w:themeColor="text1"/>
          <w:szCs w:val="21"/>
          <w14:textFill>
            <w14:solidFill>
              <w14:schemeClr w14:val="tx1"/>
            </w14:solidFill>
          </w14:textFill>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封面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现金流分析</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营运资金占用分析</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利润分析</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销售分析</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人力成本分析</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注意：</w:t>
      </w:r>
      <w:r>
        <w:rPr>
          <w:rFonts w:asciiTheme="minorEastAsia" w:hAnsiTheme="minorEastAsia" w:eastAsiaTheme="minorEastAsia"/>
          <w:color w:val="000000"/>
          <w:szCs w:val="21"/>
        </w:rPr>
        <w:t xml:space="preserve"> </w:t>
      </w:r>
    </w:p>
    <w:p>
      <w:pPr>
        <w:pStyle w:val="18"/>
        <w:numPr>
          <w:ilvl w:val="0"/>
          <w:numId w:val="2"/>
        </w:numPr>
        <w:spacing w:line="440" w:lineRule="exact"/>
        <w:ind w:left="26"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案例企业的管理者不具备财务专业知识，无法理解晦涩的财务术语，建议关注报告可读性。</w:t>
      </w:r>
    </w:p>
    <w:p>
      <w:pPr>
        <w:pStyle w:val="18"/>
        <w:numPr>
          <w:ilvl w:val="0"/>
          <w:numId w:val="2"/>
        </w:numPr>
        <w:spacing w:line="440" w:lineRule="exact"/>
        <w:ind w:left="26"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报告为月度，建议关注适合月度的数据分析及展示，且需考虑财务部门未来每个月出具此报告的效率及及时性。</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提交物格式和规则：</w:t>
      </w:r>
      <w:r>
        <w:rPr>
          <w:rFonts w:asciiTheme="minorEastAsia" w:hAnsiTheme="minorEastAsia" w:eastAsiaTheme="minorEastAsia"/>
          <w:color w:val="000000"/>
          <w:szCs w:val="21"/>
        </w:rPr>
        <w:t xml:space="preserve"> </w:t>
      </w:r>
    </w:p>
    <w:p>
      <w:pPr>
        <w:pStyle w:val="18"/>
        <w:numPr>
          <w:ilvl w:val="0"/>
          <w:numId w:val="3"/>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每一个团队上交Excel格式的数据分析工作底稿和</w:t>
      </w:r>
      <w:r>
        <w:rPr>
          <w:rFonts w:asciiTheme="minorEastAsia" w:hAnsiTheme="minorEastAsia" w:eastAsiaTheme="minorEastAsia"/>
          <w:color w:val="000000"/>
          <w:szCs w:val="21"/>
        </w:rPr>
        <w:t>PPT</w:t>
      </w:r>
      <w:r>
        <w:rPr>
          <w:rFonts w:hint="eastAsia" w:asciiTheme="minorEastAsia" w:hAnsiTheme="minorEastAsia" w:eastAsiaTheme="minorEastAsia"/>
          <w:color w:val="000000"/>
          <w:szCs w:val="21"/>
        </w:rPr>
        <w:t>格式的月度经营报告。</w:t>
      </w:r>
    </w:p>
    <w:p>
      <w:pPr>
        <w:pStyle w:val="18"/>
        <w:numPr>
          <w:ilvl w:val="0"/>
          <w:numId w:val="3"/>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每个团队上交包含参赛者的姓名，所在学校和教师的联系电话和邮箱地址的统计表。</w:t>
      </w:r>
    </w:p>
    <w:p>
      <w:pPr>
        <w:pStyle w:val="18"/>
        <w:numPr>
          <w:ilvl w:val="0"/>
          <w:numId w:val="3"/>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报告内容中不允许出现参赛者姓名和所在院校。</w:t>
      </w:r>
    </w:p>
    <w:p>
      <w:pPr>
        <w:pStyle w:val="18"/>
        <w:numPr>
          <w:ilvl w:val="0"/>
          <w:numId w:val="3"/>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Excel、</w:t>
      </w:r>
      <w:r>
        <w:rPr>
          <w:rFonts w:asciiTheme="minorEastAsia" w:hAnsiTheme="minorEastAsia" w:eastAsiaTheme="minorEastAsia"/>
          <w:color w:val="000000"/>
          <w:szCs w:val="21"/>
        </w:rPr>
        <w:t>PPT</w:t>
      </w:r>
      <w:r>
        <w:rPr>
          <w:rFonts w:hint="eastAsia" w:asciiTheme="minorEastAsia" w:hAnsiTheme="minorEastAsia" w:eastAsiaTheme="minorEastAsia"/>
          <w:color w:val="000000"/>
          <w:szCs w:val="21"/>
        </w:rPr>
        <w:t>格式发送至组委会邮箱：</w:t>
      </w:r>
      <w:r>
        <w:rPr>
          <w:rFonts w:hint="eastAsia" w:asciiTheme="minorEastAsia" w:hAnsiTheme="minorEastAsia" w:eastAsiaTheme="minorEastAsia"/>
          <w:color w:val="000000"/>
          <w:szCs w:val="21"/>
          <w:lang w:eastAsia="zh-CN"/>
        </w:rPr>
        <w:t>商务大赛商务大赛</w:t>
      </w:r>
      <w:r>
        <w:rPr>
          <w:rFonts w:hint="eastAsia" w:asciiTheme="minorEastAsia" w:hAnsiTheme="minorEastAsia" w:eastAsiaTheme="minorEastAsia"/>
          <w:color w:val="000000"/>
          <w:szCs w:val="21"/>
          <w:lang w:val="en-US" w:eastAsia="zh-CN"/>
        </w:rPr>
        <w:t>shangwudasai10</w:t>
      </w:r>
      <w:r>
        <w:rPr>
          <w:rFonts w:hint="eastAsia" w:asciiTheme="minorEastAsia" w:hAnsiTheme="minorEastAsia" w:eastAsiaTheme="minorEastAsia"/>
          <w:color w:val="000000"/>
          <w:szCs w:val="21"/>
        </w:rPr>
        <w:t>@163.com，文件命名规则为：</w:t>
      </w:r>
      <w:r>
        <w:rPr>
          <w:rFonts w:hint="eastAsia" w:asciiTheme="minorEastAsia" w:hAnsiTheme="minorEastAsia" w:eastAsiaTheme="minorEastAsia"/>
          <w:b/>
          <w:color w:val="000000"/>
          <w:szCs w:val="21"/>
        </w:rPr>
        <w:t>学校名称_教师名称_文档名称。</w:t>
      </w:r>
    </w:p>
    <w:p>
      <w:pPr>
        <w:pStyle w:val="18"/>
        <w:spacing w:line="440" w:lineRule="exact"/>
        <w:ind w:left="420" w:firstLine="0" w:firstLineChars="0"/>
        <w:rPr>
          <w:rFonts w:asciiTheme="minorEastAsia" w:hAnsiTheme="minorEastAsia" w:eastAsiaTheme="minorEastAsia"/>
          <w:color w:val="000000"/>
          <w:szCs w:val="21"/>
        </w:rPr>
      </w:pPr>
    </w:p>
    <w:p>
      <w:pPr>
        <w:numPr>
          <w:ilvl w:val="0"/>
          <w:numId w:val="4"/>
        </w:num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   大陆总决赛 </w:t>
      </w:r>
      <w:r>
        <w:rPr>
          <w:rFonts w:hint="eastAsia" w:asciiTheme="minorEastAsia" w:hAnsiTheme="minorEastAsia" w:eastAsiaTheme="minorEastAsia"/>
          <w:color w:val="000000" w:themeColor="text1"/>
          <w:szCs w:val="21"/>
          <w14:textFill>
            <w14:solidFill>
              <w14:schemeClr w14:val="tx1"/>
            </w14:solidFill>
          </w14:textFill>
        </w:rPr>
        <w:t xml:space="preserve">      </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大陆总决赛将于4月中旬在北京举行。</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注： 报到时需同时提交更新的月度经营报告（5份纸质版和电子版）及管理会计报告课程设计（电子版， 也可在确认进入决赛后提前联系启课程工作人员安装启课程APP并按照上课场景上传课件与分组案例等材料至APP，可随时更新。）                 </w:t>
      </w:r>
    </w:p>
    <w:p>
      <w:pPr>
        <w:spacing w:line="440" w:lineRule="exact"/>
        <w:ind w:firstLine="632" w:firstLineChars="3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决赛形式： 月度经营汇报及问答  &amp; 管理会计报告课程设计 （由一名教师进行报告）</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      第一部分</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 xml:space="preserve">月度经营汇报及问答 </w:t>
      </w:r>
      <w:r>
        <w:rPr>
          <w:rFonts w:hint="eastAsia" w:asciiTheme="minorEastAsia" w:hAnsiTheme="minorEastAsia" w:eastAsiaTheme="minorEastAsia"/>
          <w:color w:val="000000" w:themeColor="text1"/>
          <w:szCs w:val="21"/>
          <w14:textFill>
            <w14:solidFill>
              <w14:schemeClr w14:val="tx1"/>
            </w14:solidFill>
          </w14:textFill>
        </w:rPr>
        <w:t xml:space="preserve">以提交的月度经营报告PPT为基础，报告陈述及问答20分钟。主要考核参赛选手对管理会计报告的理解与应用，让参赛者学习站在管理层角度思考问题，帮助非财务专业的管理者及业务负责人读懂财务数据。   </w:t>
      </w:r>
    </w:p>
    <w:p>
      <w:pPr>
        <w:spacing w:line="440" w:lineRule="exact"/>
        <w:ind w:firstLine="10290" w:firstLineChars="4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该部分占比80%</w:t>
      </w:r>
    </w:p>
    <w:p>
      <w:pPr>
        <w:spacing w:line="440" w:lineRule="exact"/>
        <w:ind w:firstLine="630" w:firstLineChars="3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第二部分：</w:t>
      </w:r>
      <w:r>
        <w:rPr>
          <w:rFonts w:hint="eastAsia" w:asciiTheme="minorEastAsia" w:hAnsiTheme="minorEastAsia" w:eastAsiaTheme="minorEastAsia"/>
          <w:b/>
          <w:color w:val="000000" w:themeColor="text1"/>
          <w:szCs w:val="21"/>
          <w14:textFill>
            <w14:solidFill>
              <w14:schemeClr w14:val="tx1"/>
            </w14:solidFill>
          </w14:textFill>
        </w:rPr>
        <w:t xml:space="preserve">管理会计报告课程设计  </w:t>
      </w:r>
      <w:r>
        <w:rPr>
          <w:rFonts w:hint="eastAsia" w:asciiTheme="minorEastAsia" w:hAnsiTheme="minorEastAsia" w:eastAsiaTheme="minorEastAsia"/>
          <w:color w:val="000000" w:themeColor="text1"/>
          <w:szCs w:val="21"/>
          <w14:textFill>
            <w14:solidFill>
              <w14:schemeClr w14:val="tx1"/>
            </w14:solidFill>
          </w14:textFill>
        </w:rPr>
        <w:t>课程设计陈述与资源推送5分钟。主要考核参赛选手课程设计能力，课程资源设计能力。</w:t>
      </w:r>
    </w:p>
    <w:p>
      <w:pPr>
        <w:spacing w:line="440" w:lineRule="exact"/>
        <w:ind w:firstLine="10290" w:firstLineChars="4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该部分占比20%</w:t>
      </w:r>
    </w:p>
    <w:p>
      <w:pPr>
        <w:spacing w:line="440" w:lineRule="exact"/>
        <w:rPr>
          <w:rFonts w:asciiTheme="minorEastAsia" w:hAnsiTheme="minorEastAsia" w:eastAsiaTheme="minorEastAsia"/>
          <w:color w:val="000000" w:themeColor="text1"/>
          <w:szCs w:val="21"/>
          <w14:textFill>
            <w14:solidFill>
              <w14:schemeClr w14:val="tx1"/>
            </w14:solidFill>
          </w14:textFill>
        </w:rPr>
      </w:pPr>
    </w:p>
    <w:tbl>
      <w:tblPr>
        <w:tblStyle w:val="13"/>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67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tcPr>
          <w:p>
            <w:pPr>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比赛程序</w:t>
            </w:r>
          </w:p>
        </w:tc>
        <w:tc>
          <w:tcPr>
            <w:tcW w:w="5670" w:type="dxa"/>
          </w:tcPr>
          <w:p>
            <w:pPr>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比赛内容</w:t>
            </w:r>
          </w:p>
        </w:tc>
        <w:tc>
          <w:tcPr>
            <w:tcW w:w="1134" w:type="dxa"/>
          </w:tcPr>
          <w:p>
            <w:pPr>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时间控制</w:t>
            </w:r>
          </w:p>
        </w:tc>
        <w:tc>
          <w:tcPr>
            <w:tcW w:w="1134" w:type="dxa"/>
          </w:tcPr>
          <w:p>
            <w:pPr>
              <w:spacing w:line="440" w:lineRule="exact"/>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所占比重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p>
        </w:tc>
        <w:tc>
          <w:tcPr>
            <w:tcW w:w="5670" w:type="dxa"/>
          </w:tcPr>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参赛队由教师作为财务总监，进行月度经营情况汇报；</w:t>
            </w:r>
            <w:r>
              <w:rPr>
                <w:rFonts w:asciiTheme="minorEastAsia" w:hAnsiTheme="minorEastAsia" w:eastAsiaTheme="minorEastAsia"/>
                <w:color w:val="000000" w:themeColor="text1"/>
                <w:szCs w:val="21"/>
                <w14:textFill>
                  <w14:solidFill>
                    <w14:schemeClr w14:val="tx1"/>
                  </w14:solidFill>
                </w14:textFill>
              </w:rPr>
              <w:t xml:space="preserve"> </w:t>
            </w:r>
          </w:p>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 评委作为企业管理者及各部门负责人，在汇报过程中提出的基于月度经营报告的相关问题，参赛者对问题进行回答。</w:t>
            </w:r>
          </w:p>
        </w:tc>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20分钟</w:t>
            </w:r>
          </w:p>
        </w:tc>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w:t>
            </w:r>
          </w:p>
        </w:tc>
        <w:tc>
          <w:tcPr>
            <w:tcW w:w="5670" w:type="dxa"/>
          </w:tcPr>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 教师陈述自己对管理会计报告课程设计的思路及课程开展方式；</w:t>
            </w:r>
          </w:p>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 教师推送给评委需要提前预习的资料，课上讲述的PPT，能进行分组讨论的案例与话题，以及课后学生学习的习题。</w:t>
            </w:r>
          </w:p>
        </w:tc>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5分钟</w:t>
            </w:r>
          </w:p>
        </w:tc>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p>
        </w:tc>
        <w:tc>
          <w:tcPr>
            <w:tcW w:w="5670" w:type="dxa"/>
          </w:tcPr>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评委针对月度经营报告设计以及参赛者表现进行总结。</w:t>
            </w:r>
          </w:p>
        </w:tc>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约5分钟</w:t>
            </w:r>
          </w:p>
        </w:tc>
        <w:tc>
          <w:tcPr>
            <w:tcW w:w="1134"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5" w:type="dxa"/>
            <w:vAlign w:val="center"/>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p>
        </w:tc>
        <w:tc>
          <w:tcPr>
            <w:tcW w:w="5670" w:type="dxa"/>
          </w:tcPr>
          <w:p>
            <w:pPr>
              <w:spacing w:line="44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评委对参赛队伍进行打分。</w:t>
            </w:r>
          </w:p>
        </w:tc>
        <w:tc>
          <w:tcPr>
            <w:tcW w:w="1134" w:type="dxa"/>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3分钟</w:t>
            </w:r>
          </w:p>
        </w:tc>
        <w:tc>
          <w:tcPr>
            <w:tcW w:w="1134" w:type="dxa"/>
          </w:tcPr>
          <w:p>
            <w:pPr>
              <w:spacing w:line="440" w:lineRule="exact"/>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w:t>
            </w:r>
          </w:p>
        </w:tc>
      </w:tr>
    </w:tbl>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所有参赛队伍完成汇报后，组委会汇总每支队伍的汇报得分及提问得分，得出每支队伍的总得分。</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line="440" w:lineRule="exac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注：评委将在以下几个方面为你的报告打分：</w:t>
      </w:r>
      <w:r>
        <w:rPr>
          <w:rFonts w:asciiTheme="minorEastAsia" w:hAnsiTheme="minorEastAsia" w:eastAsiaTheme="minorEastAsia"/>
          <w:b/>
          <w:color w:val="000000"/>
          <w:szCs w:val="21"/>
        </w:rPr>
        <w:t xml:space="preserve"> </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报表整体的易读性</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数据可视化程度</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报告文字的总结能力</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理论知识的应用能力</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月度经营报告的逻辑连贯性</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各分析主题的完整性和针对性</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结论的正确性和决策支持性</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工作底稿的逻辑清晰度</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工作底稿的数据清晰、挖掘、加工的能力</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报告出具的自动化程度</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报告的多样性</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汇报的语言表达能力</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回答问题的应变能力</w:t>
      </w:r>
    </w:p>
    <w:p>
      <w:pPr>
        <w:pStyle w:val="18"/>
        <w:spacing w:line="440" w:lineRule="exact"/>
        <w:ind w:firstLine="0" w:firstLineChars="0"/>
        <w:rPr>
          <w:rFonts w:asciiTheme="minorEastAsia" w:hAnsiTheme="minorEastAsia" w:eastAsiaTheme="minorEastAsia"/>
          <w:color w:val="000000"/>
          <w:szCs w:val="21"/>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四、参赛要求</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1. </w:t>
      </w:r>
      <w:r>
        <w:rPr>
          <w:rFonts w:hint="eastAsia" w:asciiTheme="minorEastAsia" w:hAnsiTheme="minorEastAsia" w:eastAsiaTheme="minorEastAsia"/>
          <w:color w:val="000000" w:themeColor="text1"/>
          <w:szCs w:val="21"/>
          <w14:textFill>
            <w14:solidFill>
              <w14:schemeClr w14:val="tx1"/>
            </w14:solidFill>
          </w14:textFill>
        </w:rPr>
        <w:t>竞赛范围：中国大陆地区各高等院校。</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 xml:space="preserve">2. </w:t>
      </w:r>
      <w:r>
        <w:rPr>
          <w:rFonts w:hint="eastAsia" w:asciiTheme="minorEastAsia" w:hAnsiTheme="minorEastAsia" w:eastAsiaTheme="minorEastAsia"/>
          <w:color w:val="000000" w:themeColor="text1"/>
          <w:szCs w:val="21"/>
          <w14:textFill>
            <w14:solidFill>
              <w14:schemeClr w14:val="tx1"/>
            </w14:solidFill>
          </w14:textFill>
        </w:rPr>
        <w:t>参赛资格：从事会计学、财务管理等专业教学工作的本科院校和高职院校在职教师。</w:t>
      </w:r>
      <w:r>
        <w:rPr>
          <w:rFonts w:asciiTheme="minorEastAsia" w:hAnsiTheme="minorEastAsia" w:eastAsiaTheme="minorEastAsia"/>
          <w:color w:val="000000" w:themeColor="text1"/>
          <w:szCs w:val="21"/>
          <w14:textFill>
            <w14:solidFill>
              <w14:schemeClr w14:val="tx1"/>
            </w14:solidFill>
          </w14:textFill>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五、参赛费用</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总决赛按照每人</w:t>
      </w:r>
      <w:r>
        <w:rPr>
          <w:rFonts w:hint="eastAsia" w:asciiTheme="minorEastAsia" w:hAnsiTheme="minorEastAsia" w:eastAsiaTheme="minorEastAsia"/>
          <w:color w:val="000000" w:themeColor="text1"/>
          <w:szCs w:val="21"/>
          <w14:textFill>
            <w14:solidFill>
              <w14:schemeClr w14:val="tx1"/>
            </w14:solidFill>
          </w14:textFill>
        </w:rPr>
        <w:t>（队）1000元的标准收取参赛报名费，主要用于竞赛场地、竞赛资料和竞赛评审。参赛报名费请于指定日期前全额汇款至组委会账户，并注明“会计案例竞赛”。</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六、评分细则</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附件：2018年两岸四地案例大赛评委评分表</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七、奖项设置</w:t>
      </w:r>
      <w:r>
        <w:rPr>
          <w:rFonts w:asciiTheme="minorEastAsia" w:hAnsiTheme="minorEastAsia" w:eastAsiaTheme="minorEastAsia"/>
          <w:b/>
          <w:color w:val="000000" w:themeColor="text1"/>
          <w:sz w:val="28"/>
          <w:szCs w:val="28"/>
          <w14:textFill>
            <w14:solidFill>
              <w14:schemeClr w14:val="tx1"/>
            </w14:solidFill>
          </w14:textFill>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 前三名的参赛选手，颁发冠军、亚军和季军的奖杯和荣誉证书，并分别给予人民币3000元、2000元和1000元的奖励。</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 成绩优异的选手将被邀请进入会计教育转型发展校企联盟专家委员会。</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 成绩优异的选手有机会获得北京启课程科技有限公司横向课题一起开发管理会计实践沙盘。</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numPr>
          <w:ilvl w:val="0"/>
          <w:numId w:val="6"/>
        </w:numPr>
        <w:spacing w:after="312" w:afterLines="100" w:line="440" w:lineRule="exact"/>
        <w:jc w:val="left"/>
        <w:rPr>
          <w:rFonts w:asciiTheme="minorEastAsia" w:hAnsiTheme="minorEastAsia" w:eastAsiaTheme="minorEastAsia"/>
          <w:szCs w:val="21"/>
          <w:lang w:eastAsia="zh-TW"/>
        </w:rPr>
      </w:pPr>
      <w:r>
        <w:rPr>
          <w:rFonts w:hint="eastAsia" w:asciiTheme="minorEastAsia" w:hAnsiTheme="minorEastAsia" w:eastAsiaTheme="minorEastAsia"/>
          <w:b/>
          <w:sz w:val="28"/>
          <w:szCs w:val="28"/>
          <w:lang w:eastAsia="zh-TW"/>
        </w:rPr>
        <w:t>大赛组委会联系方式</w:t>
      </w:r>
    </w:p>
    <w:p>
      <w:pP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pPr>
      <w: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t>中国国际商会商业行业商会教育培训部山东办事处</w:t>
      </w:r>
    </w:p>
    <w:p>
      <w:pP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pPr>
      <w: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t>地 址：济南市天桥区无影山中路153号香港国际7号楼2单元1007室</w:t>
      </w:r>
    </w:p>
    <w:p>
      <w:pP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pPr>
      <w: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t>联系人：靳成功</w:t>
      </w:r>
      <w:r>
        <w:rPr>
          <w:rFonts w:hint="eastAsia" w:asciiTheme="minorEastAsia" w:hAnsiTheme="minorEastAsia" w:eastAsiaTheme="minorEastAsia"/>
          <w:b w:val="0"/>
          <w:bCs/>
          <w:i w:val="0"/>
          <w:iCs w:val="0"/>
          <w:color w:val="000000" w:themeColor="text1"/>
          <w:szCs w:val="21"/>
          <w:lang w:val="en-US" w:eastAsia="zh-TW"/>
          <w14:textFill>
            <w14:solidFill>
              <w14:schemeClr w14:val="tx1"/>
            </w14:solidFill>
          </w14:textFill>
        </w:rPr>
        <w:t xml:space="preserve"> </w:t>
      </w:r>
      <w: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t>   王磊</w:t>
      </w:r>
      <w:r>
        <w:rPr>
          <w:rFonts w:hint="eastAsia" w:asciiTheme="minorEastAsia" w:hAnsiTheme="minorEastAsia" w:eastAsiaTheme="minorEastAsia"/>
          <w:b w:val="0"/>
          <w:bCs/>
          <w:i w:val="0"/>
          <w:iCs w:val="0"/>
          <w:color w:val="000000" w:themeColor="text1"/>
          <w:szCs w:val="21"/>
          <w:lang w:val="en-US" w:eastAsia="zh-TW"/>
          <w14:textFill>
            <w14:solidFill>
              <w14:schemeClr w14:val="tx1"/>
            </w14:solidFill>
          </w14:textFill>
        </w:rPr>
        <w:t xml:space="preserve">    </w:t>
      </w:r>
    </w:p>
    <w:p>
      <w:pP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pPr>
      <w: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t>电 </w:t>
      </w:r>
      <w:r>
        <w:rPr>
          <w:rFonts w:hint="eastAsia" w:asciiTheme="minorEastAsia" w:hAnsiTheme="minorEastAsia" w:eastAsiaTheme="minorEastAsia"/>
          <w:b w:val="0"/>
          <w:bCs/>
          <w:i w:val="0"/>
          <w:iCs w:val="0"/>
          <w:color w:val="000000" w:themeColor="text1"/>
          <w:szCs w:val="21"/>
          <w:lang w:val="en-US" w:eastAsia="zh-TW"/>
          <w14:textFill>
            <w14:solidFill>
              <w14:schemeClr w14:val="tx1"/>
            </w14:solidFill>
          </w14:textFill>
        </w:rPr>
        <w:t xml:space="preserve"> </w:t>
      </w:r>
      <w: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t> 话：0531—86591892</w:t>
      </w:r>
      <w:r>
        <w:rPr>
          <w:rFonts w:hint="eastAsia" w:asciiTheme="minorEastAsia" w:hAnsiTheme="minorEastAsia" w:eastAsiaTheme="minorEastAsia"/>
          <w:b w:val="0"/>
          <w:bCs/>
          <w:i w:val="0"/>
          <w:iCs w:val="0"/>
          <w:color w:val="000000" w:themeColor="text1"/>
          <w:szCs w:val="21"/>
          <w:lang w:val="en-US" w:eastAsia="zh-TW"/>
          <w14:textFill>
            <w14:solidFill>
              <w14:schemeClr w14:val="tx1"/>
            </w14:solidFill>
          </w14:textFill>
        </w:rPr>
        <w:t xml:space="preserve">   </w:t>
      </w:r>
      <w: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t> </w:t>
      </w:r>
    </w:p>
    <w:p>
      <w:pP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pPr>
      <w: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t> 邮  箱：shangwudasai10@163.com</w:t>
      </w:r>
    </w:p>
    <w:p>
      <w:pPr>
        <w:rPr>
          <w:rFonts w:hint="eastAsia" w:asciiTheme="minorEastAsia" w:hAnsiTheme="minorEastAsia" w:eastAsiaTheme="minorEastAsia"/>
          <w:b w:val="0"/>
          <w:bCs/>
          <w:i w:val="0"/>
          <w:iCs w:val="0"/>
          <w:color w:val="000000" w:themeColor="text1"/>
          <w:szCs w:val="21"/>
          <w:lang w:val="en-US" w:eastAsia="zh-TW"/>
          <w14:textFill>
            <w14:solidFill>
              <w14:schemeClr w14:val="tx1"/>
            </w14:solidFill>
          </w14:textFill>
        </w:rPr>
      </w:pPr>
      <w: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t>网  站：www.</w:t>
      </w:r>
      <w:r>
        <w:rPr>
          <w:rFonts w:hint="eastAsia" w:asciiTheme="minorEastAsia" w:hAnsiTheme="minorEastAsia" w:eastAsiaTheme="minorEastAsia"/>
          <w:b w:val="0"/>
          <w:bCs/>
          <w:i w:val="0"/>
          <w:iCs w:val="0"/>
          <w:color w:val="000000" w:themeColor="text1"/>
          <w:szCs w:val="21"/>
          <w:lang w:val="en-US" w:eastAsia="zh-TW"/>
          <w14:textFill>
            <w14:solidFill>
              <w14:schemeClr w14:val="tx1"/>
            </w14:solidFill>
          </w14:textFill>
        </w:rPr>
        <w:t>sdssfw</w:t>
      </w:r>
      <w:r>
        <w:rPr>
          <w:rFonts w:hint="eastAsia" w:asciiTheme="minorEastAsia" w:hAnsiTheme="minorEastAsia" w:eastAsiaTheme="minorEastAsia"/>
          <w:b w:val="0"/>
          <w:bCs/>
          <w:i w:val="0"/>
          <w:iCs w:val="0"/>
          <w:color w:val="000000" w:themeColor="text1"/>
          <w:szCs w:val="21"/>
          <w:lang w:eastAsia="zh-TW"/>
          <w14:textFill>
            <w14:solidFill>
              <w14:schemeClr w14:val="tx1"/>
            </w14:solidFill>
          </w14:textFill>
        </w:rPr>
        <w:t>.</w:t>
      </w:r>
      <w:r>
        <w:rPr>
          <w:rFonts w:hint="eastAsia" w:asciiTheme="minorEastAsia" w:hAnsiTheme="minorEastAsia" w:eastAsiaTheme="minorEastAsia"/>
          <w:b w:val="0"/>
          <w:bCs/>
          <w:i w:val="0"/>
          <w:iCs w:val="0"/>
          <w:color w:val="000000" w:themeColor="text1"/>
          <w:szCs w:val="21"/>
          <w:lang w:val="en-US" w:eastAsia="zh-TW"/>
          <w14:textFill>
            <w14:solidFill>
              <w14:schemeClr w14:val="tx1"/>
            </w14:solidFill>
          </w14:textFill>
        </w:rPr>
        <w:t>com</w:t>
      </w:r>
    </w:p>
    <w:p>
      <w:pPr>
        <w:spacing w:line="440" w:lineRule="exact"/>
        <w:ind w:firstLine="3150" w:firstLineChars="1500"/>
        <w:rPr>
          <w:rFonts w:hint="eastAsia" w:asciiTheme="minorEastAsia" w:hAnsiTheme="minorEastAsia" w:eastAsiaTheme="minorEastAsia"/>
          <w:color w:val="000000" w:themeColor="text1"/>
          <w:szCs w:val="21"/>
          <w14:textFill>
            <w14:solidFill>
              <w14:schemeClr w14:val="tx1"/>
            </w14:solidFill>
          </w14:textFill>
        </w:rPr>
      </w:pPr>
    </w:p>
    <w:p>
      <w:pPr>
        <w:spacing w:line="440" w:lineRule="exact"/>
        <w:ind w:firstLine="3150" w:firstLineChars="1500"/>
        <w:rPr>
          <w:rFonts w:hint="eastAsia" w:asciiTheme="minorEastAsia" w:hAnsiTheme="minorEastAsia" w:eastAsiaTheme="minorEastAsia"/>
          <w:color w:val="000000" w:themeColor="text1"/>
          <w:szCs w:val="21"/>
          <w14:textFill>
            <w14:solidFill>
              <w14:schemeClr w14:val="tx1"/>
            </w14:solidFill>
          </w14:textFill>
        </w:rPr>
      </w:pPr>
    </w:p>
    <w:p>
      <w:pPr>
        <w:spacing w:line="440" w:lineRule="exact"/>
        <w:rPr>
          <w:rFonts w:asciiTheme="minorEastAsia" w:hAnsiTheme="minorEastAsia" w:eastAsiaTheme="minorEastAsia"/>
          <w:color w:val="000000" w:themeColor="text1"/>
          <w:szCs w:val="21"/>
          <w14:textFill>
            <w14:solidFill>
              <w14:schemeClr w14:val="tx1"/>
            </w14:solidFill>
          </w14:textFill>
        </w:rPr>
      </w:pPr>
      <w:bookmarkStart w:id="16" w:name="_GoBack"/>
      <w:bookmarkEnd w:id="16"/>
      <w:r>
        <w:rPr>
          <w:rFonts w:hint="eastAsia" w:asciiTheme="minorEastAsia" w:hAnsiTheme="minorEastAsia" w:eastAsiaTheme="minorEastAsia"/>
          <w:color w:val="000000" w:themeColor="text1"/>
          <w:szCs w:val="21"/>
          <w14:textFill>
            <w14:solidFill>
              <w14:schemeClr w14:val="tx1"/>
            </w14:solidFill>
          </w14:textFill>
        </w:rPr>
        <w:t xml:space="preserve">                    </w:t>
      </w:r>
    </w:p>
    <w:p>
      <w:pPr>
        <w:rPr>
          <w:rFonts w:hint="eastAsia" w:asciiTheme="minorEastAsia" w:hAnsiTheme="minorEastAsia" w:eastAsiaTheme="minorEastAsia"/>
          <w:b/>
          <w:color w:val="000000" w:themeColor="text1"/>
          <w:szCs w:val="21"/>
          <w:lang w:val="en-US" w:eastAsia="zh-TW"/>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br w:type="page"/>
      </w:r>
      <w:bookmarkStart w:id="0" w:name="_Toc368124409"/>
      <w:bookmarkEnd w:id="0"/>
      <w:bookmarkStart w:id="1" w:name="_Toc368124410"/>
      <w:bookmarkEnd w:id="1"/>
      <w:bookmarkStart w:id="2" w:name="_Toc368124411"/>
      <w:bookmarkEnd w:id="2"/>
      <w:bookmarkStart w:id="3" w:name="_Toc368124412"/>
      <w:bookmarkEnd w:id="3"/>
      <w:bookmarkStart w:id="4" w:name="_Toc368124415"/>
      <w:bookmarkEnd w:id="4"/>
      <w:bookmarkStart w:id="5" w:name="_Toc368124413"/>
      <w:bookmarkEnd w:id="5"/>
      <w:bookmarkStart w:id="6" w:name="_Toc368124414"/>
      <w:bookmarkEnd w:id="6"/>
      <w:bookmarkStart w:id="7" w:name="_Toc368124416"/>
      <w:bookmarkEnd w:id="7"/>
      <w:bookmarkStart w:id="8" w:name="_Toc368124417"/>
      <w:bookmarkEnd w:id="8"/>
      <w:bookmarkStart w:id="9" w:name="_Toc368124418"/>
      <w:bookmarkEnd w:id="9"/>
      <w:bookmarkStart w:id="10" w:name="_Toc368124419"/>
      <w:bookmarkEnd w:id="10"/>
      <w:bookmarkStart w:id="11" w:name="_Toc368124420"/>
      <w:bookmarkEnd w:id="11"/>
      <w:bookmarkStart w:id="12" w:name="_Toc368124421"/>
      <w:bookmarkEnd w:id="12"/>
      <w:bookmarkStart w:id="13" w:name="_Toc368124427"/>
      <w:bookmarkEnd w:id="13"/>
      <w:bookmarkStart w:id="14" w:name="_Toc368124428"/>
      <w:bookmarkEnd w:id="14"/>
      <w:bookmarkStart w:id="15" w:name="_Toc368124430"/>
      <w:bookmarkEnd w:id="15"/>
    </w:p>
    <w:p>
      <w:pPr>
        <w:rPr>
          <w:rFonts w:asciiTheme="minorEastAsia" w:hAnsiTheme="minorEastAsia" w:eastAsiaTheme="minorEastAsia"/>
          <w:color w:val="000000"/>
          <w:szCs w:val="21"/>
        </w:rPr>
      </w:pPr>
    </w:p>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附：2018年两岸四地会计案例大赛评委所用评分表</w:t>
      </w:r>
      <w:r>
        <w:rPr>
          <w:rFonts w:asciiTheme="minorEastAsia" w:hAnsiTheme="minorEastAsia" w:eastAsiaTheme="minorEastAsia"/>
          <w:b/>
          <w:color w:val="000000"/>
          <w:sz w:val="28"/>
          <w:szCs w:val="28"/>
        </w:rPr>
        <w:t xml:space="preserve"> </w:t>
      </w:r>
      <w:r>
        <w:rPr>
          <w:rFonts w:hint="eastAsia" w:asciiTheme="minorEastAsia" w:hAnsiTheme="minorEastAsia" w:eastAsiaTheme="minorEastAsia"/>
          <w:b/>
          <w:color w:val="000000"/>
          <w:sz w:val="28"/>
          <w:szCs w:val="28"/>
        </w:rPr>
        <w:t>—— 教师组</w:t>
      </w:r>
    </w:p>
    <w:p>
      <w:pPr>
        <w:spacing w:after="156" w:afterLines="5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初赛评分表</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63"/>
        <w:gridCol w:w="1063"/>
        <w:gridCol w:w="1063"/>
        <w:gridCol w:w="1063"/>
        <w:gridCol w:w="1063"/>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a. </w:t>
            </w:r>
            <w:r>
              <w:rPr>
                <w:rFonts w:hint="eastAsia" w:asciiTheme="minorEastAsia" w:hAnsiTheme="minorEastAsia" w:eastAsiaTheme="minorEastAsia"/>
                <w:b/>
                <w:color w:val="000000"/>
                <w:szCs w:val="21"/>
              </w:rPr>
              <w:t>月度经营报告设计竞赛报告内容</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w:t>
            </w:r>
            <w:r>
              <w:rPr>
                <w:rFonts w:asciiTheme="minorEastAsia" w:hAnsiTheme="minorEastAsia" w:eastAsiaTheme="minorEastAsia"/>
                <w:b/>
                <w:color w:val="000000"/>
                <w:szCs w:val="21"/>
              </w:rPr>
              <w:t>70</w:t>
            </w:r>
            <w:r>
              <w:rPr>
                <w:rFonts w:hint="eastAsia" w:asciiTheme="minorEastAsia" w:hAnsiTheme="minorEastAsia" w:eastAsiaTheme="minorEastAsia"/>
                <w:b/>
                <w:color w:val="000000"/>
                <w:szCs w:val="21"/>
              </w:rPr>
              <w:t>分）</w:t>
            </w:r>
          </w:p>
        </w:tc>
        <w:tc>
          <w:tcPr>
            <w:tcW w:w="106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缺失</w:t>
            </w:r>
          </w:p>
        </w:tc>
        <w:tc>
          <w:tcPr>
            <w:tcW w:w="106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06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06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06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064"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093"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报表整体的易读性</w:t>
            </w:r>
          </w:p>
        </w:tc>
        <w:tc>
          <w:tcPr>
            <w:tcW w:w="106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093"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数据可视化程度</w:t>
            </w:r>
          </w:p>
        </w:tc>
        <w:tc>
          <w:tcPr>
            <w:tcW w:w="106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093"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报告文字的总结能力</w:t>
            </w:r>
          </w:p>
        </w:tc>
        <w:tc>
          <w:tcPr>
            <w:tcW w:w="1063" w:type="dxa"/>
            <w:vAlign w:val="center"/>
          </w:tcPr>
          <w:p>
            <w:pPr>
              <w:jc w:val="center"/>
              <w:rPr>
                <w:rFonts w:asciiTheme="minorEastAsia" w:hAnsiTheme="minorEastAsia" w:eastAsiaTheme="minorEastAsia"/>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093"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理论知识的应用能力</w:t>
            </w:r>
          </w:p>
        </w:tc>
        <w:tc>
          <w:tcPr>
            <w:tcW w:w="1063" w:type="dxa"/>
            <w:vAlign w:val="center"/>
          </w:tcPr>
          <w:p>
            <w:pPr>
              <w:jc w:val="center"/>
              <w:rPr>
                <w:rFonts w:asciiTheme="minorEastAsia" w:hAnsiTheme="minorEastAsia" w:eastAsiaTheme="minorEastAsia"/>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093"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月度经营报告的整体逻辑性</w:t>
            </w:r>
          </w:p>
        </w:tc>
        <w:tc>
          <w:tcPr>
            <w:tcW w:w="1063" w:type="dxa"/>
            <w:vAlign w:val="center"/>
          </w:tcPr>
          <w:p>
            <w:pPr>
              <w:jc w:val="center"/>
              <w:rPr>
                <w:rFonts w:asciiTheme="minorEastAsia" w:hAnsiTheme="minorEastAsia" w:eastAsiaTheme="minorEastAsia"/>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093"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各分析主题的完整性和针对性</w:t>
            </w:r>
          </w:p>
        </w:tc>
        <w:tc>
          <w:tcPr>
            <w:tcW w:w="1063" w:type="dxa"/>
            <w:vAlign w:val="center"/>
          </w:tcPr>
          <w:p>
            <w:pPr>
              <w:jc w:val="center"/>
              <w:rPr>
                <w:rFonts w:asciiTheme="minorEastAsia" w:hAnsiTheme="minorEastAsia" w:eastAsiaTheme="minorEastAsia"/>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2093"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结论的正确性和决策支持性</w:t>
            </w:r>
          </w:p>
        </w:tc>
        <w:tc>
          <w:tcPr>
            <w:tcW w:w="1063" w:type="dxa"/>
            <w:vAlign w:val="center"/>
          </w:tcPr>
          <w:p>
            <w:pPr>
              <w:jc w:val="center"/>
              <w:rPr>
                <w:rFonts w:asciiTheme="minorEastAsia" w:hAnsiTheme="minorEastAsia" w:eastAsiaTheme="minorEastAsia"/>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rPr>
            </w:pPr>
            <w:r>
              <w:rPr>
                <w:rFonts w:asciiTheme="minorEastAsia" w:hAnsiTheme="minorEastAsia" w:eastAsiaTheme="minorEastAsia"/>
                <w:color w:val="000000"/>
                <w:szCs w:val="21"/>
              </w:rPr>
              <w:t>10</w:t>
            </w:r>
          </w:p>
        </w:tc>
      </w:tr>
    </w:tbl>
    <w:p>
      <w:pPr>
        <w:widowControl/>
        <w:jc w:val="left"/>
        <w:rPr>
          <w:rFonts w:asciiTheme="minorEastAsia" w:hAnsiTheme="minorEastAsia" w:eastAsiaTheme="minorEastAsia"/>
          <w:b/>
          <w:color w:val="000000" w:themeColor="text1"/>
          <w:szCs w:val="21"/>
          <w14:textFill>
            <w14:solidFill>
              <w14:schemeClr w14:val="tx1"/>
            </w14:solidFill>
          </w14:textFill>
        </w:rPr>
      </w:pPr>
    </w:p>
    <w:tbl>
      <w:tblPr>
        <w:tblStyle w:val="12"/>
        <w:tblpPr w:leftFromText="180" w:rightFromText="180" w:vertAnchor="page" w:horzAnchor="margin" w:tblpY="940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71"/>
        <w:gridCol w:w="1072"/>
        <w:gridCol w:w="1071"/>
        <w:gridCol w:w="1072"/>
        <w:gridCol w:w="1071"/>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b. </w:t>
            </w:r>
            <w:r>
              <w:rPr>
                <w:rFonts w:hint="eastAsia" w:asciiTheme="minorEastAsia" w:hAnsiTheme="minorEastAsia" w:eastAsiaTheme="minorEastAsia"/>
                <w:b/>
                <w:color w:val="000000"/>
                <w:szCs w:val="21"/>
              </w:rPr>
              <w:t>报告工作底稿（</w:t>
            </w:r>
            <w:r>
              <w:rPr>
                <w:rFonts w:asciiTheme="minorEastAsia" w:hAnsiTheme="minorEastAsia" w:eastAsiaTheme="minorEastAsia"/>
                <w:b/>
                <w:color w:val="000000"/>
                <w:szCs w:val="21"/>
              </w:rPr>
              <w:t>30</w:t>
            </w:r>
            <w:r>
              <w:rPr>
                <w:rFonts w:hint="eastAsia" w:asciiTheme="minorEastAsia" w:hAnsiTheme="minorEastAsia" w:eastAsiaTheme="minorEastAsia"/>
                <w:b/>
                <w:color w:val="000000"/>
                <w:szCs w:val="21"/>
              </w:rPr>
              <w:t>分）</w:t>
            </w:r>
          </w:p>
        </w:tc>
        <w:tc>
          <w:tcPr>
            <w:tcW w:w="1071"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缺失</w:t>
            </w:r>
          </w:p>
        </w:tc>
        <w:tc>
          <w:tcPr>
            <w:tcW w:w="1072"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071"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072"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071"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072"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2093"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工作底稿的逻辑清晰度</w:t>
            </w:r>
          </w:p>
        </w:tc>
        <w:tc>
          <w:tcPr>
            <w:tcW w:w="107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p>
        </w:tc>
        <w:tc>
          <w:tcPr>
            <w:tcW w:w="107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w:t>
            </w:r>
          </w:p>
        </w:tc>
        <w:tc>
          <w:tcPr>
            <w:tcW w:w="107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12</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2093"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工作底稿的数据清晰、挖掘、加工的能力</w:t>
            </w:r>
          </w:p>
        </w:tc>
        <w:tc>
          <w:tcPr>
            <w:tcW w:w="107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w:t>
            </w:r>
          </w:p>
        </w:tc>
        <w:tc>
          <w:tcPr>
            <w:tcW w:w="107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w:t>
            </w:r>
          </w:p>
        </w:tc>
        <w:tc>
          <w:tcPr>
            <w:tcW w:w="107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12</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15</w:t>
            </w:r>
          </w:p>
        </w:tc>
      </w:tr>
    </w:tbl>
    <w:p>
      <w:pPr>
        <w:widowControl/>
        <w:jc w:val="left"/>
        <w:rPr>
          <w:rFonts w:asciiTheme="minorEastAsia" w:hAnsiTheme="minorEastAsia" w:eastAsiaTheme="minorEastAsia"/>
          <w:b/>
          <w:color w:val="000000" w:themeColor="text1"/>
          <w:szCs w:val="21"/>
          <w14:textFill>
            <w14:solidFill>
              <w14:schemeClr w14:val="tx1"/>
            </w14:solidFill>
          </w14:textFill>
        </w:rPr>
      </w:pPr>
    </w:p>
    <w:tbl>
      <w:tblPr>
        <w:tblStyle w:val="12"/>
        <w:tblpPr w:leftFromText="180" w:rightFromText="180" w:vertAnchor="page" w:horzAnchor="margin" w:tblpY="1237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71"/>
        <w:gridCol w:w="1072"/>
        <w:gridCol w:w="1071"/>
        <w:gridCol w:w="1072"/>
        <w:gridCol w:w="1071"/>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c</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额外加分项（</w:t>
            </w:r>
            <w:r>
              <w:rPr>
                <w:rFonts w:asciiTheme="minorEastAsia" w:hAnsiTheme="minorEastAsia" w:eastAsiaTheme="minorEastAsia"/>
                <w:b/>
                <w:color w:val="000000"/>
                <w:szCs w:val="21"/>
              </w:rPr>
              <w:t>20</w:t>
            </w:r>
            <w:r>
              <w:rPr>
                <w:rFonts w:hint="eastAsia" w:asciiTheme="minorEastAsia" w:hAnsiTheme="minorEastAsia" w:eastAsiaTheme="minorEastAsia"/>
                <w:b/>
                <w:color w:val="000000"/>
                <w:szCs w:val="21"/>
              </w:rPr>
              <w:t>分）</w:t>
            </w:r>
          </w:p>
        </w:tc>
        <w:tc>
          <w:tcPr>
            <w:tcW w:w="1071"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缺失</w:t>
            </w:r>
          </w:p>
        </w:tc>
        <w:tc>
          <w:tcPr>
            <w:tcW w:w="1072"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071"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072"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071"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072"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报告出具的自动化程度</w:t>
            </w:r>
          </w:p>
        </w:tc>
        <w:tc>
          <w:tcPr>
            <w:tcW w:w="107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7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7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报告的多样性（如：引用外部数据等）</w:t>
            </w:r>
          </w:p>
        </w:tc>
        <w:tc>
          <w:tcPr>
            <w:tcW w:w="1071"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7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71"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72"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bl>
    <w:p>
      <w:pPr>
        <w:widowControl/>
        <w:jc w:val="left"/>
        <w:rPr>
          <w:rFonts w:asciiTheme="minorEastAsia" w:hAnsiTheme="minorEastAsia" w:eastAsiaTheme="minorEastAsia"/>
          <w:b/>
          <w:color w:val="000000" w:themeColor="text1"/>
          <w:szCs w:val="21"/>
          <w14:textFill>
            <w14:solidFill>
              <w14:schemeClr w14:val="tx1"/>
            </w14:solidFill>
          </w14:textFill>
        </w:rPr>
      </w:pPr>
    </w:p>
    <w:p>
      <w:pPr>
        <w:widowControl/>
        <w:jc w:val="left"/>
        <w:rPr>
          <w:rFonts w:asciiTheme="minorEastAsia" w:hAnsiTheme="minorEastAsia" w:eastAsiaTheme="minorEastAsia"/>
          <w:b/>
          <w:color w:val="000000" w:themeColor="text1"/>
          <w:szCs w:val="21"/>
          <w14:textFill>
            <w14:solidFill>
              <w14:schemeClr w14:val="tx1"/>
            </w14:solidFill>
          </w14:textFill>
        </w:rPr>
      </w:pPr>
    </w:p>
    <w:p>
      <w:pPr>
        <w:widowControl/>
        <w:jc w:val="left"/>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br w:type="page"/>
      </w:r>
    </w:p>
    <w:p>
      <w:pPr>
        <w:spacing w:after="156" w:afterLines="5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大陆地区总决赛</w:t>
      </w:r>
    </w:p>
    <w:p>
      <w:pPr>
        <w:spacing w:after="156" w:afterLines="50"/>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团队编号：</w:t>
      </w:r>
      <w:r>
        <w:rPr>
          <w:rFonts w:asciiTheme="minorEastAsia" w:hAnsiTheme="minorEastAsia" w:eastAsiaTheme="minorEastAsia"/>
          <w:b/>
          <w:color w:val="000000"/>
          <w:szCs w:val="21"/>
        </w:rPr>
        <w:t xml:space="preserve">____________________ </w:t>
      </w:r>
      <w:r>
        <w:rPr>
          <w:rFonts w:hint="eastAsia" w:asciiTheme="minorEastAsia" w:hAnsiTheme="minorEastAsia" w:eastAsiaTheme="minorEastAsia"/>
          <w:b/>
          <w:color w:val="000000"/>
          <w:szCs w:val="21"/>
        </w:rPr>
        <w:t>评判员：</w:t>
      </w:r>
      <w:r>
        <w:rPr>
          <w:rFonts w:asciiTheme="minorEastAsia" w:hAnsiTheme="minorEastAsia" w:eastAsiaTheme="minorEastAsia"/>
          <w:b/>
          <w:color w:val="000000"/>
          <w:szCs w:val="21"/>
        </w:rPr>
        <w:t>_______________________</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63"/>
        <w:gridCol w:w="1063"/>
        <w:gridCol w:w="1063"/>
        <w:gridCol w:w="1063"/>
        <w:gridCol w:w="1063"/>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a.模拟月度经营汇报现场报告内容</w:t>
            </w:r>
          </w:p>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（60</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分）：</w:t>
            </w:r>
            <w:r>
              <w:rPr>
                <w:rFonts w:asciiTheme="minorEastAsia" w:hAnsiTheme="minorEastAsia" w:eastAsiaTheme="minorEastAsia"/>
                <w:b/>
                <w:color w:val="000000"/>
                <w:szCs w:val="21"/>
              </w:rPr>
              <w:t xml:space="preserve"> </w:t>
            </w:r>
          </w:p>
        </w:tc>
        <w:tc>
          <w:tcPr>
            <w:tcW w:w="106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缺失</w:t>
            </w:r>
          </w:p>
        </w:tc>
        <w:tc>
          <w:tcPr>
            <w:tcW w:w="106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06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06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063"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064"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93"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报表整体的易读性</w:t>
            </w:r>
          </w:p>
        </w:tc>
        <w:tc>
          <w:tcPr>
            <w:tcW w:w="106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93"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数据可视化程度</w:t>
            </w:r>
          </w:p>
        </w:tc>
        <w:tc>
          <w:tcPr>
            <w:tcW w:w="106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93"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报告文字的总结能力</w:t>
            </w:r>
          </w:p>
        </w:tc>
        <w:tc>
          <w:tcPr>
            <w:tcW w:w="106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93"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月度经营报告的整体逻辑性</w:t>
            </w:r>
          </w:p>
        </w:tc>
        <w:tc>
          <w:tcPr>
            <w:tcW w:w="106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93"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各分析主题的完整性和针对性</w:t>
            </w:r>
          </w:p>
        </w:tc>
        <w:tc>
          <w:tcPr>
            <w:tcW w:w="106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93"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结论的正确性和决策支持性</w:t>
            </w:r>
          </w:p>
        </w:tc>
        <w:tc>
          <w:tcPr>
            <w:tcW w:w="106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0</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2</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4</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6</w:t>
            </w:r>
          </w:p>
        </w:tc>
        <w:tc>
          <w:tcPr>
            <w:tcW w:w="1063"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8</w:t>
            </w:r>
          </w:p>
        </w:tc>
        <w:tc>
          <w:tcPr>
            <w:tcW w:w="1064"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10</w:t>
            </w:r>
          </w:p>
        </w:tc>
      </w:tr>
    </w:tbl>
    <w:p>
      <w:pPr>
        <w:widowControl/>
        <w:jc w:val="left"/>
        <w:rPr>
          <w:rFonts w:asciiTheme="minorEastAsia" w:hAnsiTheme="minorEastAsia" w:eastAsiaTheme="minorEastAsia"/>
          <w:b/>
          <w:color w:val="000000" w:themeColor="text1"/>
          <w:szCs w:val="21"/>
          <w14:textFill>
            <w14:solidFill>
              <w14:schemeClr w14:val="tx1"/>
            </w14:solidFill>
          </w14:textFill>
        </w:rPr>
      </w:pPr>
    </w:p>
    <w:p>
      <w:pPr>
        <w:widowControl/>
        <w:jc w:val="left"/>
        <w:rPr>
          <w:rFonts w:asciiTheme="minorEastAsia" w:hAnsiTheme="minorEastAsia" w:eastAsiaTheme="minorEastAsia"/>
          <w:b/>
          <w:color w:val="000000" w:themeColor="text1"/>
          <w:szCs w:val="21"/>
          <w14:textFill>
            <w14:solidFill>
              <w14:schemeClr w14:val="tx1"/>
            </w14:solidFill>
          </w14:textFill>
        </w:rPr>
      </w:pPr>
    </w:p>
    <w:tbl>
      <w:tblPr>
        <w:tblStyle w:val="2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067"/>
        <w:gridCol w:w="1068"/>
        <w:gridCol w:w="1067"/>
        <w:gridCol w:w="1068"/>
        <w:gridCol w:w="106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7" w:type="dxa"/>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b. 汇报技能</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20</w:t>
            </w:r>
            <w:r>
              <w:rPr>
                <w:rFonts w:asciiTheme="minorEastAsia" w:hAnsiTheme="minorEastAsia" w:eastAsiaTheme="minorEastAsia"/>
                <w:b/>
                <w:color w:val="000000"/>
                <w:szCs w:val="21"/>
              </w:rPr>
              <w:t xml:space="preserve">分）： </w:t>
            </w:r>
          </w:p>
        </w:tc>
        <w:tc>
          <w:tcPr>
            <w:tcW w:w="1067" w:type="dxa"/>
            <w:vAlign w:val="center"/>
          </w:tcPr>
          <w:p>
            <w:pPr>
              <w:jc w:val="center"/>
              <w:rPr>
                <w:rFonts w:asciiTheme="minorEastAsia" w:hAnsiTheme="minorEastAsia" w:eastAsiaTheme="minorEastAsia"/>
                <w:b/>
                <w:color w:val="000000"/>
                <w:kern w:val="0"/>
                <w:szCs w:val="21"/>
              </w:rPr>
            </w:pPr>
            <w:r>
              <w:rPr>
                <w:rFonts w:hint="eastAsia" w:asciiTheme="minorEastAsia" w:hAnsiTheme="minorEastAsia" w:eastAsiaTheme="minorEastAsia"/>
                <w:b/>
                <w:color w:val="000000"/>
                <w:kern w:val="0"/>
                <w:szCs w:val="21"/>
              </w:rPr>
              <w:t>缺失</w:t>
            </w:r>
          </w:p>
        </w:tc>
        <w:tc>
          <w:tcPr>
            <w:tcW w:w="106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0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06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0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06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7" w:type="dxa"/>
          </w:tcPr>
          <w:p>
            <w:pPr>
              <w:jc w:val="lef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汇报的语言表达能力</w:t>
            </w:r>
          </w:p>
        </w:tc>
        <w:tc>
          <w:tcPr>
            <w:tcW w:w="1067" w:type="dxa"/>
            <w:vAlign w:val="center"/>
          </w:tcPr>
          <w:p>
            <w:pPr>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0</w:t>
            </w:r>
          </w:p>
        </w:tc>
        <w:tc>
          <w:tcPr>
            <w:tcW w:w="1068"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1067"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1068"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w:t>
            </w:r>
          </w:p>
        </w:tc>
        <w:tc>
          <w:tcPr>
            <w:tcW w:w="1067"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w:t>
            </w:r>
          </w:p>
        </w:tc>
        <w:tc>
          <w:tcPr>
            <w:tcW w:w="1068"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7" w:type="dxa"/>
          </w:tcPr>
          <w:p>
            <w:pPr>
              <w:jc w:val="left"/>
              <w:rPr>
                <w:rFonts w:asciiTheme="minorEastAsia" w:hAnsiTheme="minorEastAsia" w:eastAsiaTheme="minorEastAsia"/>
                <w:kern w:val="0"/>
                <w:szCs w:val="21"/>
              </w:rPr>
            </w:pPr>
            <w:r>
              <w:rPr>
                <w:rFonts w:hint="eastAsia" w:asciiTheme="minorEastAsia" w:hAnsiTheme="minorEastAsia" w:eastAsiaTheme="minorEastAsia"/>
                <w:color w:val="000000"/>
                <w:kern w:val="0"/>
                <w:szCs w:val="21"/>
              </w:rPr>
              <w:t>回答问题的应变能力</w:t>
            </w:r>
          </w:p>
        </w:tc>
        <w:tc>
          <w:tcPr>
            <w:tcW w:w="1067" w:type="dxa"/>
            <w:vAlign w:val="center"/>
          </w:tcPr>
          <w:p>
            <w:pPr>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0</w:t>
            </w:r>
          </w:p>
        </w:tc>
        <w:tc>
          <w:tcPr>
            <w:tcW w:w="1068"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1067"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1068"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w:t>
            </w:r>
          </w:p>
        </w:tc>
        <w:tc>
          <w:tcPr>
            <w:tcW w:w="1067"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w:t>
            </w:r>
          </w:p>
        </w:tc>
        <w:tc>
          <w:tcPr>
            <w:tcW w:w="1068"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10</w:t>
            </w:r>
          </w:p>
        </w:tc>
      </w:tr>
    </w:tbl>
    <w:p>
      <w:pPr>
        <w:widowControl/>
        <w:jc w:val="left"/>
        <w:rPr>
          <w:rFonts w:asciiTheme="minorEastAsia" w:hAnsiTheme="minorEastAsia" w:eastAsiaTheme="minorEastAsia"/>
          <w:b/>
          <w:color w:val="000000" w:themeColor="text1"/>
          <w:szCs w:val="21"/>
          <w14:textFill>
            <w14:solidFill>
              <w14:schemeClr w14:val="tx1"/>
            </w14:solidFill>
          </w14:textFill>
        </w:rPr>
      </w:pPr>
    </w:p>
    <w:p>
      <w:pPr>
        <w:widowControl/>
        <w:jc w:val="left"/>
        <w:rPr>
          <w:rFonts w:asciiTheme="minorEastAsia" w:hAnsiTheme="minorEastAsia" w:eastAsiaTheme="minorEastAsia"/>
          <w:b/>
          <w:color w:val="000000" w:themeColor="text1"/>
          <w:szCs w:val="21"/>
          <w14:textFill>
            <w14:solidFill>
              <w14:schemeClr w14:val="tx1"/>
            </w14:solidFill>
          </w14:textFill>
        </w:rPr>
      </w:pPr>
    </w:p>
    <w:tbl>
      <w:tblPr>
        <w:tblStyle w:val="2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33"/>
        <w:gridCol w:w="1034"/>
        <w:gridCol w:w="1034"/>
        <w:gridCol w:w="1034"/>
        <w:gridCol w:w="103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 xml:space="preserve">C. </w:t>
            </w:r>
            <w:r>
              <w:rPr>
                <w:rFonts w:hint="eastAsia" w:asciiTheme="minorEastAsia" w:hAnsiTheme="minorEastAsia" w:eastAsiaTheme="minorEastAsia"/>
                <w:b/>
                <w:color w:val="000000" w:themeColor="text1"/>
                <w:kern w:val="0"/>
                <w:szCs w:val="21"/>
                <w14:textFill>
                  <w14:solidFill>
                    <w14:schemeClr w14:val="tx1"/>
                  </w14:solidFill>
                </w14:textFill>
              </w:rPr>
              <w:t>管理会计报告课程设计</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20</w:t>
            </w:r>
            <w:r>
              <w:rPr>
                <w:rFonts w:asciiTheme="minorEastAsia" w:hAnsiTheme="minorEastAsia" w:eastAsiaTheme="minorEastAsia"/>
                <w:b/>
                <w:color w:val="000000"/>
                <w:szCs w:val="21"/>
              </w:rPr>
              <w:t xml:space="preserve">分）： </w:t>
            </w:r>
          </w:p>
        </w:tc>
        <w:tc>
          <w:tcPr>
            <w:tcW w:w="1033" w:type="dxa"/>
            <w:vAlign w:val="center"/>
          </w:tcPr>
          <w:p>
            <w:pPr>
              <w:jc w:val="center"/>
              <w:rPr>
                <w:rFonts w:asciiTheme="minorEastAsia" w:hAnsiTheme="minorEastAsia" w:eastAsiaTheme="minorEastAsia"/>
                <w:b/>
                <w:color w:val="000000"/>
                <w:kern w:val="0"/>
                <w:szCs w:val="21"/>
              </w:rPr>
            </w:pPr>
            <w:r>
              <w:rPr>
                <w:rFonts w:hint="eastAsia" w:asciiTheme="minorEastAsia" w:hAnsiTheme="minorEastAsia" w:eastAsiaTheme="minorEastAsia"/>
                <w:b/>
                <w:color w:val="000000"/>
                <w:kern w:val="0"/>
                <w:szCs w:val="21"/>
              </w:rPr>
              <w:t>缺失</w:t>
            </w:r>
          </w:p>
        </w:tc>
        <w:tc>
          <w:tcPr>
            <w:tcW w:w="1034"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034"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034"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034"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034"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93" w:type="dxa"/>
            <w:vAlign w:val="center"/>
          </w:tcPr>
          <w:p>
            <w:pPr>
              <w:jc w:val="left"/>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课程设计能力</w:t>
            </w:r>
          </w:p>
        </w:tc>
        <w:tc>
          <w:tcPr>
            <w:tcW w:w="1033" w:type="dxa"/>
            <w:vAlign w:val="center"/>
          </w:tcPr>
          <w:p>
            <w:pPr>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0</w:t>
            </w:r>
          </w:p>
        </w:tc>
        <w:tc>
          <w:tcPr>
            <w:tcW w:w="1034"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1034"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1034"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w:t>
            </w:r>
          </w:p>
        </w:tc>
        <w:tc>
          <w:tcPr>
            <w:tcW w:w="1034"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w:t>
            </w:r>
          </w:p>
        </w:tc>
        <w:tc>
          <w:tcPr>
            <w:tcW w:w="1034"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093" w:type="dxa"/>
            <w:vAlign w:val="center"/>
          </w:tcPr>
          <w:p>
            <w:pPr>
              <w:jc w:val="left"/>
              <w:rPr>
                <w:rFonts w:asciiTheme="minorEastAsia" w:hAnsiTheme="minorEastAsia" w:eastAsiaTheme="minorEastAsia"/>
                <w:kern w:val="0"/>
                <w:szCs w:val="21"/>
              </w:rPr>
            </w:pPr>
            <w:r>
              <w:rPr>
                <w:rFonts w:hint="eastAsia" w:asciiTheme="minorEastAsia" w:hAnsiTheme="minorEastAsia" w:eastAsiaTheme="minorEastAsia"/>
                <w:color w:val="000000"/>
                <w:kern w:val="0"/>
                <w:szCs w:val="21"/>
              </w:rPr>
              <w:t>课程资源设计与展现能力</w:t>
            </w:r>
          </w:p>
        </w:tc>
        <w:tc>
          <w:tcPr>
            <w:tcW w:w="1033" w:type="dxa"/>
            <w:vAlign w:val="center"/>
          </w:tcPr>
          <w:p>
            <w:pPr>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0</w:t>
            </w:r>
          </w:p>
        </w:tc>
        <w:tc>
          <w:tcPr>
            <w:tcW w:w="1034"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2</w:t>
            </w:r>
          </w:p>
        </w:tc>
        <w:tc>
          <w:tcPr>
            <w:tcW w:w="1034"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4</w:t>
            </w:r>
          </w:p>
        </w:tc>
        <w:tc>
          <w:tcPr>
            <w:tcW w:w="1034"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6</w:t>
            </w:r>
          </w:p>
        </w:tc>
        <w:tc>
          <w:tcPr>
            <w:tcW w:w="1034"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8</w:t>
            </w:r>
          </w:p>
        </w:tc>
        <w:tc>
          <w:tcPr>
            <w:tcW w:w="1034" w:type="dxa"/>
            <w:vAlign w:val="center"/>
          </w:tcPr>
          <w:p>
            <w:pPr>
              <w:jc w:val="center"/>
              <w:rPr>
                <w:rFonts w:asciiTheme="minorEastAsia" w:hAnsiTheme="minorEastAsia" w:eastAsiaTheme="minorEastAsia"/>
                <w:color w:val="000000"/>
                <w:kern w:val="0"/>
                <w:szCs w:val="21"/>
              </w:rPr>
            </w:pPr>
            <w:r>
              <w:rPr>
                <w:rFonts w:asciiTheme="minorEastAsia" w:hAnsiTheme="minorEastAsia" w:eastAsiaTheme="minorEastAsia"/>
                <w:color w:val="000000"/>
                <w:kern w:val="0"/>
                <w:szCs w:val="21"/>
              </w:rPr>
              <w:t>10</w:t>
            </w:r>
          </w:p>
        </w:tc>
      </w:tr>
    </w:tbl>
    <w:p>
      <w:pPr>
        <w:rPr>
          <w:rFonts w:asciiTheme="minorEastAsia" w:hAnsiTheme="minorEastAsia" w:eastAsiaTheme="minorEastAsia"/>
          <w:color w:val="000000"/>
          <w:szCs w:val="21"/>
        </w:rPr>
      </w:pP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总决赛总分：</w:t>
      </w:r>
      <w:r>
        <w:rPr>
          <w:rFonts w:asciiTheme="minorEastAsia" w:hAnsiTheme="minorEastAsia" w:eastAsiaTheme="minorEastAsia"/>
          <w:color w:val="000000"/>
          <w:szCs w:val="21"/>
        </w:rPr>
        <w:t xml:space="preserve">______________ </w:t>
      </w:r>
    </w:p>
    <w:p>
      <w:pPr>
        <w:widowControl/>
        <w:jc w:val="left"/>
        <w:rPr>
          <w:rFonts w:asciiTheme="minorEastAsia" w:hAnsiTheme="minorEastAsia" w:eastAsiaTheme="minorEastAsia"/>
          <w:b/>
          <w:color w:val="000000" w:themeColor="text1"/>
          <w:szCs w:val="21"/>
          <w14:textFill>
            <w14:solidFill>
              <w14:schemeClr w14:val="tx1"/>
            </w14:solidFill>
          </w14:textFill>
        </w:rPr>
      </w:pPr>
    </w:p>
    <w:p>
      <w:pPr>
        <w:widowControl/>
        <w:jc w:val="left"/>
        <w:rPr>
          <w:rFonts w:asciiTheme="minorEastAsia" w:hAnsiTheme="minorEastAsia" w:eastAsiaTheme="minorEastAsia"/>
          <w:b/>
          <w:color w:val="000000" w:themeColor="text1"/>
          <w:szCs w:val="2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4250"/>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09DE"/>
    <w:multiLevelType w:val="multilevel"/>
    <w:tmpl w:val="422709DE"/>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6792F07"/>
    <w:multiLevelType w:val="multilevel"/>
    <w:tmpl w:val="56792F0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5819B016"/>
    <w:multiLevelType w:val="singleLevel"/>
    <w:tmpl w:val="5819B016"/>
    <w:lvl w:ilvl="0" w:tentative="0">
      <w:start w:val="1"/>
      <w:numFmt w:val="decimalEnclosedCircleChinese"/>
      <w:suff w:val="nothing"/>
      <w:lvlText w:val="%1　"/>
      <w:lvlJc w:val="left"/>
      <w:pPr>
        <w:ind w:left="0" w:firstLine="400"/>
      </w:pPr>
      <w:rPr>
        <w:rFonts w:hint="eastAsia"/>
      </w:rPr>
    </w:lvl>
  </w:abstractNum>
  <w:abstractNum w:abstractNumId="3">
    <w:nsid w:val="5819B02E"/>
    <w:multiLevelType w:val="singleLevel"/>
    <w:tmpl w:val="5819B02E"/>
    <w:lvl w:ilvl="0" w:tentative="0">
      <w:start w:val="1"/>
      <w:numFmt w:val="decimalEnclosedCircleChinese"/>
      <w:suff w:val="nothing"/>
      <w:lvlText w:val="%1　"/>
      <w:lvlJc w:val="left"/>
      <w:pPr>
        <w:ind w:left="0" w:firstLine="400"/>
      </w:pPr>
      <w:rPr>
        <w:rFonts w:hint="eastAsia"/>
      </w:rPr>
    </w:lvl>
  </w:abstractNum>
  <w:abstractNum w:abstractNumId="4">
    <w:nsid w:val="59C0D380"/>
    <w:multiLevelType w:val="singleLevel"/>
    <w:tmpl w:val="59C0D380"/>
    <w:lvl w:ilvl="0" w:tentative="0">
      <w:start w:val="3"/>
      <w:numFmt w:val="chineseCounting"/>
      <w:suff w:val="nothing"/>
      <w:lvlText w:val="（%1）"/>
      <w:lvlJc w:val="left"/>
      <w:rPr>
        <w:b/>
      </w:rPr>
    </w:lvl>
  </w:abstractNum>
  <w:abstractNum w:abstractNumId="5">
    <w:nsid w:val="59DC41DF"/>
    <w:multiLevelType w:val="singleLevel"/>
    <w:tmpl w:val="59DC41DF"/>
    <w:lvl w:ilvl="0" w:tentative="0">
      <w:start w:val="8"/>
      <w:numFmt w:val="chineseCounting"/>
      <w:suff w:val="nothing"/>
      <w:lvlText w:val="%1、"/>
      <w:lvlJc w:val="left"/>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1534C"/>
    <w:rsid w:val="00037978"/>
    <w:rsid w:val="000B6C5D"/>
    <w:rsid w:val="0011504A"/>
    <w:rsid w:val="001D1F0F"/>
    <w:rsid w:val="0020266A"/>
    <w:rsid w:val="00240236"/>
    <w:rsid w:val="00282234"/>
    <w:rsid w:val="002A5816"/>
    <w:rsid w:val="002C502D"/>
    <w:rsid w:val="002D70F9"/>
    <w:rsid w:val="002E6303"/>
    <w:rsid w:val="003322A7"/>
    <w:rsid w:val="0035794C"/>
    <w:rsid w:val="00373B56"/>
    <w:rsid w:val="003B2858"/>
    <w:rsid w:val="003B3EB9"/>
    <w:rsid w:val="003C397F"/>
    <w:rsid w:val="003D3CAB"/>
    <w:rsid w:val="00400C29"/>
    <w:rsid w:val="00405A37"/>
    <w:rsid w:val="004161F6"/>
    <w:rsid w:val="00451E01"/>
    <w:rsid w:val="00471A4E"/>
    <w:rsid w:val="004A0610"/>
    <w:rsid w:val="004E372F"/>
    <w:rsid w:val="004F7D11"/>
    <w:rsid w:val="00511120"/>
    <w:rsid w:val="00513C7C"/>
    <w:rsid w:val="005B0471"/>
    <w:rsid w:val="005E7031"/>
    <w:rsid w:val="005F1F3F"/>
    <w:rsid w:val="00613EFA"/>
    <w:rsid w:val="00633BD5"/>
    <w:rsid w:val="00664BC1"/>
    <w:rsid w:val="006936CE"/>
    <w:rsid w:val="006B6DD4"/>
    <w:rsid w:val="006F332F"/>
    <w:rsid w:val="007341E3"/>
    <w:rsid w:val="00762C68"/>
    <w:rsid w:val="0077777B"/>
    <w:rsid w:val="007C0C71"/>
    <w:rsid w:val="007C6EE7"/>
    <w:rsid w:val="007E288A"/>
    <w:rsid w:val="007E36AD"/>
    <w:rsid w:val="008458EA"/>
    <w:rsid w:val="0085328F"/>
    <w:rsid w:val="008651A6"/>
    <w:rsid w:val="00875449"/>
    <w:rsid w:val="008948B5"/>
    <w:rsid w:val="008B7B64"/>
    <w:rsid w:val="008C2D79"/>
    <w:rsid w:val="008C483D"/>
    <w:rsid w:val="009015CA"/>
    <w:rsid w:val="00912840"/>
    <w:rsid w:val="009161E7"/>
    <w:rsid w:val="00923710"/>
    <w:rsid w:val="009322F4"/>
    <w:rsid w:val="00970C2A"/>
    <w:rsid w:val="00995199"/>
    <w:rsid w:val="00996ED6"/>
    <w:rsid w:val="009B1AF1"/>
    <w:rsid w:val="009D5F82"/>
    <w:rsid w:val="009F392F"/>
    <w:rsid w:val="00A067B7"/>
    <w:rsid w:val="00A31D9B"/>
    <w:rsid w:val="00A72DDE"/>
    <w:rsid w:val="00A827B2"/>
    <w:rsid w:val="00AA269C"/>
    <w:rsid w:val="00AC24F7"/>
    <w:rsid w:val="00AD111F"/>
    <w:rsid w:val="00AD6B87"/>
    <w:rsid w:val="00AE7039"/>
    <w:rsid w:val="00AF019C"/>
    <w:rsid w:val="00AF6C12"/>
    <w:rsid w:val="00B15402"/>
    <w:rsid w:val="00B23715"/>
    <w:rsid w:val="00B27C67"/>
    <w:rsid w:val="00B31650"/>
    <w:rsid w:val="00B73ED7"/>
    <w:rsid w:val="00B87DA0"/>
    <w:rsid w:val="00BB352B"/>
    <w:rsid w:val="00BB61EC"/>
    <w:rsid w:val="00BB66DB"/>
    <w:rsid w:val="00BC5045"/>
    <w:rsid w:val="00BD3690"/>
    <w:rsid w:val="00C04193"/>
    <w:rsid w:val="00C07F4E"/>
    <w:rsid w:val="00C150B5"/>
    <w:rsid w:val="00C2189B"/>
    <w:rsid w:val="00C56D13"/>
    <w:rsid w:val="00C92E4A"/>
    <w:rsid w:val="00CB6270"/>
    <w:rsid w:val="00CD2DA6"/>
    <w:rsid w:val="00D67DA4"/>
    <w:rsid w:val="00E204BA"/>
    <w:rsid w:val="00E4166E"/>
    <w:rsid w:val="00E44F38"/>
    <w:rsid w:val="00E76CE9"/>
    <w:rsid w:val="00E869B4"/>
    <w:rsid w:val="00EA18AD"/>
    <w:rsid w:val="00EB28CD"/>
    <w:rsid w:val="00ED049A"/>
    <w:rsid w:val="00EE22CD"/>
    <w:rsid w:val="00EE7530"/>
    <w:rsid w:val="00EE7FC9"/>
    <w:rsid w:val="00EF1396"/>
    <w:rsid w:val="00F22242"/>
    <w:rsid w:val="00F5064B"/>
    <w:rsid w:val="00F514A5"/>
    <w:rsid w:val="00FF33E5"/>
    <w:rsid w:val="00FF6018"/>
    <w:rsid w:val="04C7321D"/>
    <w:rsid w:val="20C310F3"/>
    <w:rsid w:val="376B05C7"/>
    <w:rsid w:val="49720CB3"/>
    <w:rsid w:val="577D165B"/>
    <w:rsid w:val="593877E8"/>
    <w:rsid w:val="62AF6DD9"/>
    <w:rsid w:val="62C4105C"/>
    <w:rsid w:val="691F3F4F"/>
    <w:rsid w:val="69211935"/>
    <w:rsid w:val="7A120FF9"/>
  </w:rsids>
  <m:mathPr>
    <m:mathFont m:val="Cambria Math"/>
    <m:brkBin m:val="before"/>
    <m:brkBinSub m:val="--"/>
    <m:smallFrac m:val="0"/>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文字 Char"/>
    <w:basedOn w:val="9"/>
    <w:link w:val="3"/>
    <w:semiHidden/>
    <w:qFormat/>
    <w:uiPriority w:val="99"/>
    <w:rPr>
      <w:rFonts w:ascii="Calibri" w:hAnsi="Calibri" w:eastAsia="宋体" w:cs="Times New Roman"/>
    </w:rPr>
  </w:style>
  <w:style w:type="character" w:customStyle="1" w:styleId="15">
    <w:name w:val="批注框文本 Char"/>
    <w:basedOn w:val="9"/>
    <w:link w:val="4"/>
    <w:semiHidden/>
    <w:qFormat/>
    <w:uiPriority w:val="99"/>
    <w:rPr>
      <w:rFonts w:ascii="Calibri" w:hAnsi="Calibri" w:eastAsia="宋体" w:cs="Times New Roman"/>
      <w:sz w:val="18"/>
      <w:szCs w:val="18"/>
    </w:rPr>
  </w:style>
  <w:style w:type="character" w:customStyle="1" w:styleId="16">
    <w:name w:val="页眉 Char"/>
    <w:basedOn w:val="9"/>
    <w:link w:val="6"/>
    <w:qFormat/>
    <w:uiPriority w:val="99"/>
    <w:rPr>
      <w:rFonts w:ascii="Calibri" w:hAnsi="Calibri" w:eastAsia="宋体" w:cs="Times New Roman"/>
      <w:sz w:val="18"/>
      <w:szCs w:val="18"/>
    </w:rPr>
  </w:style>
  <w:style w:type="character" w:customStyle="1" w:styleId="17">
    <w:name w:val="页脚 Char"/>
    <w:basedOn w:val="9"/>
    <w:link w:val="5"/>
    <w:qFormat/>
    <w:uiPriority w:val="99"/>
    <w:rPr>
      <w:rFonts w:ascii="Calibri" w:hAnsi="Calibri" w:eastAsia="宋体" w:cs="Times New Roman"/>
      <w:sz w:val="18"/>
      <w:szCs w:val="18"/>
    </w:rPr>
  </w:style>
  <w:style w:type="paragraph" w:customStyle="1" w:styleId="18">
    <w:name w:val="列出段落1"/>
    <w:basedOn w:val="1"/>
    <w:qFormat/>
    <w:uiPriority w:val="34"/>
    <w:pPr>
      <w:ind w:firstLine="420" w:firstLineChars="200"/>
    </w:pPr>
  </w:style>
  <w:style w:type="character" w:customStyle="1" w:styleId="19">
    <w:name w:val="HTML 预设格式 Char"/>
    <w:basedOn w:val="9"/>
    <w:link w:val="7"/>
    <w:qFormat/>
    <w:uiPriority w:val="99"/>
    <w:rPr>
      <w:rFonts w:ascii="宋体" w:hAnsi="宋体" w:eastAsia="宋体" w:cs="宋体"/>
      <w:sz w:val="24"/>
      <w:szCs w:val="24"/>
    </w:rPr>
  </w:style>
  <w:style w:type="character" w:customStyle="1" w:styleId="20">
    <w:name w:val="批注主题 Char"/>
    <w:basedOn w:val="14"/>
    <w:link w:val="2"/>
    <w:semiHidden/>
    <w:qFormat/>
    <w:uiPriority w:val="99"/>
    <w:rPr>
      <w:rFonts w:ascii="Calibri" w:hAnsi="Calibri" w:eastAsia="宋体" w:cs="Times New Roman"/>
      <w:b/>
      <w:bCs/>
      <w:kern w:val="2"/>
      <w:sz w:val="21"/>
      <w:szCs w:val="22"/>
    </w:rPr>
  </w:style>
  <w:style w:type="paragraph" w:customStyle="1" w:styleId="21">
    <w:name w:val="List Paragraph"/>
    <w:basedOn w:val="1"/>
    <w:unhideWhenUsed/>
    <w:qFormat/>
    <w:uiPriority w:val="99"/>
    <w:pPr>
      <w:ind w:firstLine="420" w:firstLineChars="200"/>
    </w:pPr>
  </w:style>
  <w:style w:type="table" w:customStyle="1" w:styleId="22">
    <w:name w:val="网格型1"/>
    <w:basedOn w:val="1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3">
    <w:name w:val="网格型2"/>
    <w:basedOn w:val="1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4">
    <w:name w:val="网格型3"/>
    <w:basedOn w:val="1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
    <w:name w:val="网格型4"/>
    <w:basedOn w:val="1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560</Words>
  <Characters>3195</Characters>
  <Lines>26</Lines>
  <Paragraphs>7</Paragraphs>
  <TotalTime>0</TotalTime>
  <ScaleCrop>false</ScaleCrop>
  <LinksUpToDate>false</LinksUpToDate>
  <CharactersWithSpaces>3748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2017-09-25T03:47:00Z</dcterms:created>
  <dc:creator>Lenovo</dc:creator>
  <cp:lastModifiedBy>Administrator</cp:lastModifiedBy>
  <dcterms:modified xsi:type="dcterms:W3CDTF">2017-10-10T03:33:59Z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