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sz w:val="36"/>
          <w:szCs w:val="36"/>
        </w:rPr>
      </w:pPr>
      <w:r>
        <w:rPr>
          <w:rFonts w:hint="eastAsia" w:ascii="宋体" w:hAnsi="宋体"/>
          <w:b/>
          <w:sz w:val="36"/>
          <w:szCs w:val="36"/>
        </w:rPr>
        <w:t>2020年全国高校商业精英挑战赛</w:t>
      </w:r>
    </w:p>
    <w:p>
      <w:pPr>
        <w:spacing w:line="600" w:lineRule="exact"/>
        <w:jc w:val="center"/>
        <w:rPr>
          <w:rFonts w:ascii="宋体" w:hAnsi="宋体"/>
          <w:b/>
          <w:sz w:val="36"/>
          <w:szCs w:val="36"/>
        </w:rPr>
      </w:pPr>
      <w:r>
        <w:rPr>
          <w:rFonts w:hint="eastAsia" w:ascii="宋体" w:hAnsi="宋体"/>
          <w:b/>
          <w:sz w:val="36"/>
          <w:szCs w:val="36"/>
        </w:rPr>
        <w:t>会计与商业管理案例竞赛细则</w:t>
      </w:r>
    </w:p>
    <w:p>
      <w:pPr>
        <w:spacing w:line="600" w:lineRule="exact"/>
        <w:jc w:val="center"/>
        <w:rPr>
          <w:rFonts w:ascii="宋体" w:hAnsi="宋体"/>
          <w:b/>
          <w:sz w:val="36"/>
          <w:szCs w:val="36"/>
        </w:rPr>
      </w:pP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为提高大学生应用财务与会计信息开展商业研究和解决实际问题的能力，进一步贯彻落实财政部《会计改革与发展“十三五”规划纲要》中明确提出的要“推进管理会计广泛应用”和“加快推进管理会计人才培养，力争到2020年培养3万名精于理财、善于管理和决策的管理会计人才”的要求，促进海峡两岸与港澳地区财务与会计教育的互动与交流，推动以“财务与会计服务”为代表的服务贸易的发展，由中国国际商会商业行业商会与中国商业会计学会共同发起、商业国际交流合作培训中心承办的2020年全国高校商业精英挑战赛会计与商业管理案例竞赛将于2</w:t>
      </w:r>
      <w:r>
        <w:rPr>
          <w:rFonts w:asciiTheme="minorEastAsia" w:hAnsiTheme="minorEastAsia" w:eastAsiaTheme="minorEastAsia"/>
          <w:color w:val="000000" w:themeColor="text1"/>
          <w:szCs w:val="21"/>
          <w14:textFill>
            <w14:solidFill>
              <w14:schemeClr w14:val="tx1"/>
            </w14:solidFill>
          </w14:textFill>
        </w:rPr>
        <w:t>01</w:t>
      </w:r>
      <w:r>
        <w:rPr>
          <w:rFonts w:hint="eastAsia" w:asciiTheme="minorEastAsia" w:hAnsiTheme="minorEastAsia" w:eastAsiaTheme="minorEastAsia"/>
          <w:color w:val="000000" w:themeColor="text1"/>
          <w:szCs w:val="21"/>
          <w14:textFill>
            <w14:solidFill>
              <w14:schemeClr w14:val="tx1"/>
            </w14:solidFill>
          </w14:textFill>
        </w:rPr>
        <w:t>9年九月份启动报名，2020年</w:t>
      </w:r>
      <w:r>
        <w:rPr>
          <w:rFonts w:hint="eastAsia" w:asciiTheme="minorEastAsia" w:hAnsiTheme="minorEastAsia" w:eastAsiaTheme="minorEastAsia"/>
          <w:color w:val="000000" w:themeColor="text1"/>
          <w:szCs w:val="21"/>
          <w:lang w:val="en-US" w:eastAsia="zh-CN"/>
          <w14:textFill>
            <w14:solidFill>
              <w14:schemeClr w14:val="tx1"/>
            </w14:solidFill>
          </w14:textFill>
        </w:rPr>
        <w:t>五</w:t>
      </w:r>
      <w:r>
        <w:rPr>
          <w:rFonts w:hint="eastAsia" w:asciiTheme="minorEastAsia" w:hAnsiTheme="minorEastAsia" w:eastAsiaTheme="minorEastAsia"/>
          <w:color w:val="000000" w:themeColor="text1"/>
          <w:szCs w:val="21"/>
          <w14:textFill>
            <w14:solidFill>
              <w14:schemeClr w14:val="tx1"/>
            </w14:solidFill>
          </w14:textFill>
        </w:rPr>
        <w:t>月份举行全国总决赛。</w:t>
      </w:r>
    </w:p>
    <w:p>
      <w:pPr>
        <w:spacing w:line="440" w:lineRule="exact"/>
        <w:ind w:firstLine="630" w:firstLineChars="300"/>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一、竞赛目的</w:t>
      </w:r>
    </w:p>
    <w:p>
      <w:pPr>
        <w:spacing w:line="440" w:lineRule="exact"/>
        <w:ind w:firstLine="420" w:firstLineChars="200"/>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（一）接触企业鲜活案例，亲</w:t>
      </w:r>
      <w:r>
        <w:rPr>
          <w:rFonts w:hint="eastAsia" w:asciiTheme="minorEastAsia" w:hAnsiTheme="minorEastAsia" w:eastAsiaTheme="minorEastAsia"/>
          <w:color w:val="000000" w:themeColor="text1"/>
          <w:szCs w:val="21"/>
          <w14:textFill>
            <w14:solidFill>
              <w14:schemeClr w14:val="tx1"/>
            </w14:solidFill>
          </w14:textFill>
        </w:rPr>
        <w:t>历企业实践、模拟管理和管理会计决策，与企业高管面对面碰撞，提升发现、分析、解决企业实际问题的能力，增强就业竞争力。</w:t>
      </w:r>
    </w:p>
    <w:p>
      <w:pPr>
        <w:pStyle w:val="7"/>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（二）促进学生综合素质的提高，包括综合运用所学会计专业知识解决实际问题的能力、定量与定性分析、决策、应用、有效的口头交流、时间管理、思辨、创意与创造、书面表达、</w:t>
      </w:r>
      <w:r>
        <w:rPr>
          <w:rFonts w:asciiTheme="minorEastAsia" w:hAnsiTheme="minorEastAsia" w:eastAsiaTheme="minorEastAsia"/>
          <w:color w:val="000000" w:themeColor="text1"/>
          <w:sz w:val="21"/>
          <w:szCs w:val="21"/>
          <w14:textFill>
            <w14:solidFill>
              <w14:schemeClr w14:val="tx1"/>
            </w14:solidFill>
          </w14:textFill>
        </w:rPr>
        <w:t>PPT</w:t>
      </w:r>
      <w:r>
        <w:rPr>
          <w:rFonts w:hint="eastAsia" w:asciiTheme="minorEastAsia" w:hAnsiTheme="minorEastAsia" w:eastAsiaTheme="minorEastAsia"/>
          <w:color w:val="000000" w:themeColor="text1"/>
          <w:sz w:val="21"/>
          <w:szCs w:val="21"/>
          <w14:textFill>
            <w14:solidFill>
              <w14:schemeClr w14:val="tx1"/>
            </w14:solidFill>
          </w14:textFill>
        </w:rPr>
        <w:t>和动画制作、教学内容制作、演讲、人际与社会交往能力的综合能力。</w:t>
      </w:r>
    </w:p>
    <w:p>
      <w:pPr>
        <w:pStyle w:val="7"/>
        <w:shd w:val="clear" w:color="auto" w:fill="FFFFFF"/>
        <w:spacing w:before="0" w:beforeAutospacing="0" w:after="0" w:afterAutospacing="0" w:line="440" w:lineRule="exact"/>
        <w:ind w:firstLine="420" w:firstLineChars="200"/>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（三）在知识赛中接触更多将会计信息用于管理与决策的案例，引导学生反思自己的学习方式，系统性学习，培养良好学习习惯。</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二、竞赛组织</w:t>
      </w:r>
    </w:p>
    <w:p>
      <w:pPr>
        <w:spacing w:line="440" w:lineRule="exact"/>
        <w:ind w:firstLine="422" w:firstLineChars="200"/>
        <w:rPr>
          <w:rFonts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主办单位：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中国商业会计学会</w:t>
      </w:r>
    </w:p>
    <w:p>
      <w:pPr>
        <w:spacing w:line="440" w:lineRule="exact"/>
        <w:rPr>
          <w:rFonts w:asciiTheme="minorEastAsia" w:hAnsiTheme="minorEastAsia" w:eastAsiaTheme="minorEastAsia" w:cstheme="minorBidi"/>
          <w:b/>
          <w:color w:val="000000" w:themeColor="text1"/>
          <w:szCs w:val="21"/>
          <w14:textFill>
            <w14:solidFill>
              <w14:schemeClr w14:val="tx1"/>
            </w14:solidFill>
          </w14:textFill>
        </w:rPr>
      </w:pPr>
      <w:r>
        <w:rPr>
          <w:rFonts w:asciiTheme="minorEastAsia" w:hAnsiTheme="minorEastAsia" w:eastAsiaTheme="minorEastAsia" w:cstheme="minorBidi"/>
          <w:b/>
          <w:color w:val="000000" w:themeColor="text1"/>
          <w:szCs w:val="21"/>
          <w14:textFill>
            <w14:solidFill>
              <w14:schemeClr w14:val="tx1"/>
            </w14:solidFill>
          </w14:textFill>
        </w:rPr>
        <w:t xml:space="preserve">    </w:t>
      </w:r>
      <w:r>
        <w:rPr>
          <w:rFonts w:hint="eastAsia" w:asciiTheme="minorEastAsia" w:hAnsiTheme="minorEastAsia" w:eastAsiaTheme="minorEastAsia" w:cstheme="minorBidi"/>
          <w:b/>
          <w:color w:val="000000" w:themeColor="text1"/>
          <w:szCs w:val="21"/>
          <w14:textFill>
            <w14:solidFill>
              <w14:schemeClr w14:val="tx1"/>
            </w14:solidFill>
          </w14:textFill>
        </w:rPr>
        <w:t>承办单位：</w:t>
      </w:r>
    </w:p>
    <w:p>
      <w:pPr>
        <w:spacing w:line="440" w:lineRule="exact"/>
        <w:ind w:firstLine="420" w:firstLineChars="200"/>
        <w:rPr>
          <w:rFonts w:asciiTheme="minorEastAsia" w:hAnsiTheme="minorEastAsia" w:eastAsiaTheme="minorEastAsia" w:cstheme="minorBidi"/>
          <w:color w:val="000000" w:themeColor="text1"/>
          <w:szCs w:val="21"/>
          <w14:textFill>
            <w14:solidFill>
              <w14:schemeClr w14:val="tx1"/>
            </w14:solidFill>
          </w14:textFill>
        </w:rPr>
      </w:pPr>
      <w:r>
        <w:rPr>
          <w:rFonts w:hint="eastAsia" w:asciiTheme="minorEastAsia" w:hAnsiTheme="minorEastAsia" w:eastAsiaTheme="minorEastAsia" w:cstheme="minorBidi"/>
          <w:color w:val="000000" w:themeColor="text1"/>
          <w:szCs w:val="21"/>
          <w14:textFill>
            <w14:solidFill>
              <w14:schemeClr w14:val="tx1"/>
            </w14:solidFill>
          </w14:textFill>
        </w:rPr>
        <w:t>中国国际商会商业行业商会</w:t>
      </w:r>
    </w:p>
    <w:p>
      <w:pPr>
        <w:spacing w:line="440" w:lineRule="exact"/>
        <w:rPr>
          <w:rFonts w:asciiTheme="minorEastAsia" w:hAnsiTheme="minorEastAsia" w:eastAsiaTheme="minorEastAsia" w:cstheme="minorBidi"/>
          <w:szCs w:val="21"/>
        </w:rPr>
      </w:pPr>
      <w:r>
        <w:rPr>
          <w:rFonts w:hint="eastAsia" w:asciiTheme="minorEastAsia" w:hAnsiTheme="minorEastAsia" w:eastAsiaTheme="minorEastAsia" w:cstheme="minorBidi"/>
          <w:color w:val="000000" w:themeColor="text1"/>
          <w:szCs w:val="21"/>
          <w14:textFill>
            <w14:solidFill>
              <w14:schemeClr w14:val="tx1"/>
            </w14:solidFill>
          </w14:textFill>
        </w:rPr>
        <w:t xml:space="preserve">    </w:t>
      </w:r>
      <w:r>
        <w:rPr>
          <w:rFonts w:hint="eastAsia" w:asciiTheme="minorEastAsia" w:hAnsiTheme="minorEastAsia" w:eastAsiaTheme="minorEastAsia"/>
          <w:szCs w:val="21"/>
        </w:rPr>
        <w:t>商业国际交流合作培训中心</w:t>
      </w:r>
    </w:p>
    <w:p>
      <w:pPr>
        <w:spacing w:line="440" w:lineRule="exact"/>
        <w:ind w:firstLine="422" w:firstLineChars="200"/>
        <w:rPr>
          <w:rFonts w:hint="eastAsia" w:asciiTheme="minorEastAsia" w:hAnsiTheme="minorEastAsia" w:eastAsiaTheme="minorEastAsia" w:cstheme="minorBidi"/>
          <w:b/>
          <w:color w:val="000000" w:themeColor="text1"/>
          <w:szCs w:val="21"/>
          <w14:textFill>
            <w14:solidFill>
              <w14:schemeClr w14:val="tx1"/>
            </w14:solidFill>
          </w14:textFill>
        </w:rPr>
      </w:pPr>
      <w:r>
        <w:rPr>
          <w:rFonts w:hint="eastAsia" w:asciiTheme="minorEastAsia" w:hAnsiTheme="minorEastAsia" w:eastAsiaTheme="minorEastAsia" w:cstheme="minorBidi"/>
          <w:b/>
          <w:color w:val="000000" w:themeColor="text1"/>
          <w:szCs w:val="21"/>
          <w14:textFill>
            <w14:solidFill>
              <w14:schemeClr w14:val="tx1"/>
            </w14:solidFill>
          </w14:textFill>
        </w:rPr>
        <w:t>媒体支持：</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《商业会计》杂志</w:t>
      </w: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三、竞赛形式</w:t>
      </w:r>
      <w:r>
        <w:rPr>
          <w:rFonts w:asciiTheme="minorEastAsia" w:hAnsiTheme="minorEastAsia" w:eastAsiaTheme="minorEastAsia"/>
          <w:color w:val="000000" w:themeColor="text1"/>
          <w:sz w:val="28"/>
          <w:szCs w:val="28"/>
          <w14:textFill>
            <w14:solidFill>
              <w14:schemeClr w14:val="tx1"/>
            </w14:solidFill>
          </w14:textFill>
        </w:rPr>
        <w:t xml:space="preserve"> </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竞赛设置知识赛和实践赛两个环节。</w:t>
      </w:r>
    </w:p>
    <w:p>
      <w:pPr>
        <w:spacing w:line="44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（一）知识赛阶段，采取个人赛的形式，统一网络机考方式进行。</w:t>
      </w:r>
      <w:r>
        <w:rPr>
          <w:rFonts w:hint="eastAsia" w:asciiTheme="minorEastAsia" w:hAnsiTheme="minorEastAsia" w:eastAsiaTheme="minorEastAsia"/>
          <w:szCs w:val="21"/>
        </w:rPr>
        <w:t>考核管理会计与财务管理方面的专业知识</w:t>
      </w:r>
      <w:r>
        <w:rPr>
          <w:rFonts w:asciiTheme="minorEastAsia" w:hAnsiTheme="minorEastAsia" w:eastAsiaTheme="minorEastAsia"/>
          <w:szCs w:val="21"/>
        </w:rPr>
        <w:t>，60分（含）以上合格的参赛选手有资格组队参加实践赛</w:t>
      </w:r>
      <w:r>
        <w:rPr>
          <w:rFonts w:hint="eastAsia" w:asciiTheme="minorEastAsia" w:hAnsiTheme="minorEastAsia" w:eastAsiaTheme="minorEastAsia"/>
          <w:szCs w:val="21"/>
        </w:rPr>
        <w:t>（满分为1</w:t>
      </w:r>
      <w:r>
        <w:rPr>
          <w:rFonts w:asciiTheme="minorEastAsia" w:hAnsiTheme="minorEastAsia" w:eastAsiaTheme="minorEastAsia"/>
          <w:szCs w:val="21"/>
        </w:rPr>
        <w:t>00</w:t>
      </w:r>
      <w:r>
        <w:rPr>
          <w:rFonts w:hint="eastAsia" w:asciiTheme="minorEastAsia" w:hAnsiTheme="minorEastAsia" w:eastAsiaTheme="minorEastAsia"/>
          <w:szCs w:val="21"/>
        </w:rPr>
        <w:t>分）</w:t>
      </w:r>
      <w:r>
        <w:rPr>
          <w:rFonts w:asciiTheme="minorEastAsia" w:hAnsiTheme="minorEastAsia" w:eastAsiaTheme="minorEastAsia"/>
          <w:szCs w:val="21"/>
        </w:rPr>
        <w:t>。院校报名后，以学校为单位向组委会预约知识赛时间，预约成功后组委会下发答题账号。</w:t>
      </w:r>
      <w:r>
        <w:rPr>
          <w:rFonts w:hint="eastAsia" w:asciiTheme="minorEastAsia" w:hAnsiTheme="minorEastAsia" w:eastAsiaTheme="minorEastAsia"/>
          <w:szCs w:val="21"/>
        </w:rPr>
        <w:t>知识赛合格（60分及以上）的参赛选手申领《财务分析专业能力证书》具体办法另行通知。</w:t>
      </w:r>
    </w:p>
    <w:p>
      <w:pPr>
        <w:spacing w:after="312" w:afterLines="100"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二）实践赛阶段，采用团体赛的形式，参赛选手自行组成团队。每个团队由3至5名选手和1至2名辅导教师组成（参赛选手不可交叉组队，指导教师可以指导多队），完成商业计划书。经评审委员会评定晋级的团队。因“新型冠状病毒感染的肺炎疫情”这一不可抗原因，取消全国现场总决赛，总决赛改为线上评比。各晋级队伍在指定时间提交最终版商业计划书及用于展示商业计划书的竞赛PPT（PPT需转化为PDF</w:t>
      </w:r>
      <w:r>
        <w:rPr>
          <w:rFonts w:hint="eastAsia" w:asciiTheme="minorEastAsia" w:hAnsiTheme="minorEastAsia" w:eastAsiaTheme="minorEastAsia"/>
          <w:szCs w:val="21"/>
          <w:lang w:val="en-US" w:eastAsia="zh-CN"/>
        </w:rPr>
        <w:t>格式</w:t>
      </w:r>
      <w:r>
        <w:rPr>
          <w:rFonts w:hint="eastAsia" w:asciiTheme="minorEastAsia" w:hAnsiTheme="minorEastAsia" w:eastAsiaTheme="minorEastAsia"/>
          <w:szCs w:val="21"/>
        </w:rPr>
        <w:t>提交）至指定邮箱</w:t>
      </w:r>
      <w:r>
        <w:rPr>
          <w:rFonts w:hint="eastAsia" w:asciiTheme="minorEastAsia" w:hAnsiTheme="minorEastAsia" w:eastAsiaTheme="minorEastAsia"/>
          <w:szCs w:val="21"/>
          <w:lang w:val="en-US" w:eastAsia="zh-CN"/>
        </w:rPr>
        <w:t>shangwudasai10</w:t>
      </w:r>
      <w:r>
        <w:rPr>
          <w:rFonts w:hint="eastAsia" w:asciiTheme="minorEastAsia" w:hAnsiTheme="minorEastAsia" w:eastAsiaTheme="minorEastAsia"/>
          <w:szCs w:val="21"/>
        </w:rPr>
        <w:t>@163.com。</w:t>
      </w:r>
    </w:p>
    <w:p>
      <w:pPr>
        <w:spacing w:after="312" w:afterLines="100" w:line="44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四、参赛方案</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请以</w:t>
      </w:r>
      <w:r>
        <w:rPr>
          <w:rFonts w:hint="eastAsia" w:asciiTheme="minorEastAsia" w:hAnsiTheme="minorEastAsia" w:eastAsiaTheme="minorEastAsia"/>
          <w:b/>
          <w:bCs/>
          <w:color w:val="000000" w:themeColor="text1"/>
          <w:szCs w:val="21"/>
          <w14:textFill>
            <w14:solidFill>
              <w14:schemeClr w14:val="tx1"/>
            </w14:solidFill>
          </w14:textFill>
        </w:rPr>
        <w:t>奥飞娱乐</w:t>
      </w:r>
      <w:r>
        <w:rPr>
          <w:rFonts w:hint="eastAsia" w:asciiTheme="minorEastAsia" w:hAnsiTheme="minorEastAsia" w:eastAsiaTheme="minorEastAsia"/>
          <w:b/>
          <w:bCs/>
          <w:szCs w:val="21"/>
        </w:rPr>
        <w:t>（深圳证券交易所股票代码：002292）</w:t>
      </w:r>
      <w:r>
        <w:rPr>
          <w:rFonts w:hint="eastAsia" w:asciiTheme="minorEastAsia" w:hAnsiTheme="minorEastAsia" w:eastAsiaTheme="minorEastAsia"/>
          <w:szCs w:val="21"/>
        </w:rPr>
        <w:t>的财务报</w:t>
      </w:r>
      <w:r>
        <w:rPr>
          <w:rFonts w:hint="eastAsia" w:asciiTheme="minorEastAsia" w:hAnsiTheme="minorEastAsia" w:eastAsiaTheme="minorEastAsia"/>
          <w:color w:val="000000" w:themeColor="text1"/>
          <w:szCs w:val="21"/>
          <w14:textFill>
            <w14:solidFill>
              <w14:schemeClr w14:val="tx1"/>
            </w14:solidFill>
          </w14:textFill>
        </w:rPr>
        <w:t>告为基础，各参赛队以商业策略顾问的身份，基于该企业2016-2018年的业绩报告研究其商业经营（若提交作品前2019年的报告已经发布，建议参考最新内容），制定一份</w:t>
      </w:r>
      <w:r>
        <w:rPr>
          <w:rFonts w:hint="eastAsia" w:asciiTheme="minorEastAsia" w:hAnsiTheme="minorEastAsia" w:eastAsiaTheme="minorEastAsia"/>
          <w:b/>
          <w:color w:val="000000" w:themeColor="text1"/>
          <w:szCs w:val="21"/>
          <w14:textFill>
            <w14:solidFill>
              <w14:schemeClr w14:val="tx1"/>
            </w14:solidFill>
          </w14:textFill>
        </w:rPr>
        <w:t>商业计划书</w:t>
      </w:r>
      <w:r>
        <w:rPr>
          <w:rFonts w:hint="eastAsia" w:asciiTheme="minorEastAsia" w:hAnsiTheme="minorEastAsia" w:eastAsiaTheme="minorEastAsia"/>
          <w:color w:val="000000" w:themeColor="text1"/>
          <w:szCs w:val="21"/>
          <w14:textFill>
            <w14:solidFill>
              <w14:schemeClr w14:val="tx1"/>
            </w14:solidFill>
          </w14:textFill>
        </w:rPr>
        <w:t>以提高其未来三年的经营业绩。</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（一）商业计划书</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你的商业计划书应当包括以下要素：</w:t>
      </w:r>
      <w:r>
        <w:rPr>
          <w:rFonts w:asciiTheme="minorEastAsia" w:hAnsiTheme="minorEastAsia" w:eastAsiaTheme="minorEastAsia"/>
          <w:color w:val="000000" w:themeColor="text1"/>
          <w:szCs w:val="21"/>
          <w14:textFill>
            <w14:solidFill>
              <w14:schemeClr w14:val="tx1"/>
            </w14:solidFill>
          </w14:textFill>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目录</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概要</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引言</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当前经济情况</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w:t>
      </w:r>
      <w:r>
        <w:rPr>
          <w:rFonts w:asciiTheme="minorEastAsia" w:hAnsiTheme="minorEastAsia" w:eastAsiaTheme="minorEastAsia"/>
          <w:color w:val="000000"/>
          <w:szCs w:val="21"/>
        </w:rPr>
        <w:t xml:space="preserve"> </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实施计划</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财务预测</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公司治理惯例回顾</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附录和参考资料</w:t>
      </w:r>
    </w:p>
    <w:p>
      <w:pPr>
        <w:pStyle w:val="18"/>
        <w:numPr>
          <w:ilvl w:val="0"/>
          <w:numId w:val="1"/>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所用到的财务与会计知识点列表</w:t>
      </w:r>
    </w:p>
    <w:p>
      <w:pPr>
        <w:spacing w:line="44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（二）注意事项：</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在进行财务分析时，你可以参考集团的财务报告。需要以前年度（如</w:t>
      </w:r>
      <w:r>
        <w:rPr>
          <w:rFonts w:asciiTheme="minorEastAsia" w:hAnsiTheme="minorEastAsia" w:eastAsiaTheme="minorEastAsia"/>
          <w:color w:val="000000"/>
          <w:szCs w:val="21"/>
        </w:rPr>
        <w:t xml:space="preserve"> 201</w:t>
      </w:r>
      <w:r>
        <w:rPr>
          <w:rFonts w:hint="eastAsia" w:asciiTheme="minorEastAsia" w:hAnsiTheme="minorEastAsia" w:eastAsiaTheme="minorEastAsia"/>
          <w:color w:val="000000"/>
          <w:szCs w:val="21"/>
        </w:rPr>
        <w:t>6</w:t>
      </w:r>
      <w:r>
        <w:rPr>
          <w:rFonts w:asciiTheme="minorEastAsia" w:hAnsiTheme="minorEastAsia" w:eastAsiaTheme="minorEastAsia"/>
          <w:color w:val="000000"/>
          <w:szCs w:val="21"/>
        </w:rPr>
        <w:t>-201</w:t>
      </w:r>
      <w:r>
        <w:rPr>
          <w:rFonts w:hint="eastAsia" w:asciiTheme="minorEastAsia" w:hAnsiTheme="minorEastAsia" w:eastAsiaTheme="minorEastAsia"/>
          <w:color w:val="000000"/>
          <w:szCs w:val="21"/>
        </w:rPr>
        <w:t>8）的详细财务报告，并且需要表明用来计算会计比率的公式。</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策略分析可能包括非财务分析，比如外部环境，内部资源，现行策略与集团的核心竞争力和竞争者，等等。</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当制定策略计划时，首先你应该决定集团在未来三年所追求总体方向，然后提出建议来保证策略被执行。</w:t>
      </w:r>
      <w:r>
        <w:rPr>
          <w:rFonts w:asciiTheme="minorEastAsia" w:hAnsiTheme="minorEastAsia" w:eastAsiaTheme="minorEastAsia"/>
          <w:color w:val="000000"/>
          <w:szCs w:val="21"/>
        </w:rPr>
        <w:t xml:space="preserve"> </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执行计划依赖战略</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或者需要行动以保证策略计划有效执行。这些行动应该与以下因素相关，市场营销，生产，经营或者任何你认为对实现预定目标有作用的不同集团商业单元。</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你建议的策略和执行的计划应当由来自</w:t>
      </w:r>
      <w:r>
        <w:rPr>
          <w:rFonts w:asciiTheme="minorEastAsia" w:hAnsiTheme="minorEastAsia" w:eastAsiaTheme="minorEastAsia"/>
          <w:color w:val="000000"/>
          <w:szCs w:val="21"/>
        </w:rPr>
        <w:t xml:space="preserve"> 20</w:t>
      </w:r>
      <w:r>
        <w:rPr>
          <w:rFonts w:hint="eastAsia" w:asciiTheme="minorEastAsia" w:hAnsiTheme="minorEastAsia" w:eastAsiaTheme="minorEastAsia"/>
          <w:color w:val="000000"/>
          <w:szCs w:val="21"/>
        </w:rPr>
        <w:t>19</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年到</w:t>
      </w:r>
      <w:r>
        <w:rPr>
          <w:rFonts w:asciiTheme="minorEastAsia" w:hAnsiTheme="minorEastAsia" w:eastAsiaTheme="minorEastAsia"/>
          <w:color w:val="000000"/>
          <w:szCs w:val="21"/>
        </w:rPr>
        <w:t xml:space="preserve"> 202</w:t>
      </w:r>
      <w:r>
        <w:rPr>
          <w:rFonts w:hint="eastAsia" w:asciiTheme="minorEastAsia" w:hAnsiTheme="minorEastAsia" w:eastAsiaTheme="minorEastAsia"/>
          <w:color w:val="000000"/>
          <w:szCs w:val="21"/>
        </w:rPr>
        <w:t>1年未来三年的计划综合收益表所支持。</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所有的公司治理建议应当根据公司治理准则制定。</w:t>
      </w:r>
    </w:p>
    <w:p>
      <w:pPr>
        <w:pStyle w:val="18"/>
        <w:numPr>
          <w:ilvl w:val="0"/>
          <w:numId w:val="2"/>
        </w:numPr>
        <w:spacing w:line="440" w:lineRule="exact"/>
        <w:ind w:firstLine="42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在准备商业建议时，你应当：</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确保所有的建议和意见与集团的愿景，使命和价值观一致；</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引用业绩报告参考信息需标明页码；</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陈述所有相关信息，例如，图表，图片，公开信息，文章，调查研究和问卷复印件（若涉及到），等等，用来在附录部分作参考；</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在参考资料中引用其他的外部资源；</w:t>
      </w:r>
      <w:r>
        <w:rPr>
          <w:rFonts w:asciiTheme="minorEastAsia" w:hAnsiTheme="minorEastAsia" w:eastAsiaTheme="minorEastAsia"/>
          <w:color w:val="000000"/>
          <w:szCs w:val="21"/>
        </w:rPr>
        <w:t xml:space="preserve"> </w:t>
      </w:r>
    </w:p>
    <w:p>
      <w:pPr>
        <w:pStyle w:val="18"/>
        <w:numPr>
          <w:ilvl w:val="0"/>
          <w:numId w:val="3"/>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清楚地说明任何用来证明你的分析和建议的潜在假设；</w:t>
      </w:r>
      <w:r>
        <w:rPr>
          <w:rFonts w:asciiTheme="minorEastAsia" w:hAnsiTheme="minorEastAsia" w:eastAsiaTheme="minorEastAsia"/>
          <w:color w:val="000000"/>
          <w:szCs w:val="21"/>
        </w:rPr>
        <w:t xml:space="preserve"> </w:t>
      </w:r>
    </w:p>
    <w:p>
      <w:pPr>
        <w:pStyle w:val="22"/>
        <w:numPr>
          <w:ilvl w:val="0"/>
          <w:numId w:val="4"/>
        </w:numPr>
        <w:spacing w:line="440" w:lineRule="exact"/>
        <w:ind w:firstLineChars="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报告格式和规则：</w:t>
      </w:r>
      <w:r>
        <w:rPr>
          <w:rFonts w:asciiTheme="minorEastAsia" w:hAnsiTheme="minorEastAsia" w:eastAsiaTheme="minorEastAsia"/>
          <w:color w:val="000000"/>
          <w:szCs w:val="21"/>
        </w:rPr>
        <w:t xml:space="preserve"> </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每一个团队上交一份商业计划书</w:t>
      </w:r>
      <w:r>
        <w:rPr>
          <w:rFonts w:hint="eastAsia" w:asciiTheme="minorEastAsia" w:hAnsiTheme="minorEastAsia" w:eastAsiaTheme="minorEastAsia"/>
          <w:color w:val="000000"/>
          <w:szCs w:val="21"/>
          <w:lang w:val="en-US" w:eastAsia="zh-CN"/>
        </w:rPr>
        <w:t>及展示用PPT</w:t>
      </w:r>
      <w:r>
        <w:rPr>
          <w:rFonts w:hint="eastAsia" w:asciiTheme="minorEastAsia" w:hAnsiTheme="minorEastAsia" w:eastAsiaTheme="minorEastAsia"/>
          <w:color w:val="000000"/>
          <w:szCs w:val="21"/>
        </w:rPr>
        <w:t>（语言为中文，</w:t>
      </w:r>
      <w:r>
        <w:rPr>
          <w:rFonts w:hint="eastAsia" w:asciiTheme="minorEastAsia" w:hAnsiTheme="minorEastAsia" w:eastAsiaTheme="minorEastAsia"/>
          <w:color w:val="000000"/>
          <w:szCs w:val="21"/>
          <w:lang w:val="en-US" w:eastAsia="zh-CN"/>
        </w:rPr>
        <w:t>均为PDF格式</w:t>
      </w:r>
      <w:r>
        <w:rPr>
          <w:rFonts w:hint="eastAsia" w:asciiTheme="minorEastAsia" w:hAnsiTheme="minorEastAsia" w:eastAsiaTheme="minorEastAsia"/>
          <w:color w:val="000000"/>
          <w:szCs w:val="21"/>
        </w:rPr>
        <w:t>），包含封面，目录，摘要，</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索引，附录，表格和参考资料，财务与会计知识点列表。如果有调查问卷和调查结果，请放在报告后面。正文部分中文字体为宋体小四号，英文字体为Times New Roman 12号，单倍行距，标清页码。</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每份商业计划书的封面内容，包含参赛队名称，队员姓名，指导教师姓名和队长的联系电话及邮箱地址，</w:t>
      </w:r>
      <w:r>
        <w:rPr>
          <w:rFonts w:hint="eastAsia" w:asciiTheme="minorEastAsia" w:hAnsiTheme="minorEastAsia" w:eastAsiaTheme="minorEastAsia"/>
          <w:b/>
          <w:color w:val="000000"/>
          <w:szCs w:val="21"/>
        </w:rPr>
        <w:t>不得出现院校信息</w:t>
      </w:r>
      <w:r>
        <w:rPr>
          <w:rFonts w:hint="eastAsia" w:asciiTheme="minorEastAsia" w:hAnsiTheme="minorEastAsia" w:eastAsiaTheme="minorEastAsia"/>
          <w:color w:val="000000"/>
          <w:szCs w:val="21"/>
        </w:rPr>
        <w:t>。请注意，</w:t>
      </w:r>
      <w:r>
        <w:rPr>
          <w:rFonts w:hint="eastAsia" w:asciiTheme="minorEastAsia" w:hAnsiTheme="minorEastAsia" w:eastAsiaTheme="minorEastAsia"/>
          <w:b/>
          <w:color w:val="000000"/>
          <w:szCs w:val="21"/>
        </w:rPr>
        <w:t>参赛队名称及作品名称不得与院校名称相关</w:t>
      </w:r>
      <w:r>
        <w:rPr>
          <w:rFonts w:hint="eastAsia" w:asciiTheme="minorEastAsia" w:hAnsiTheme="minorEastAsia" w:eastAsiaTheme="minorEastAsia"/>
          <w:color w:val="000000"/>
          <w:szCs w:val="21"/>
        </w:rPr>
        <w:t>。</w:t>
      </w:r>
    </w:p>
    <w:p>
      <w:pPr>
        <w:pStyle w:val="18"/>
        <w:spacing w:line="440" w:lineRule="exac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3.报告内容</w:t>
      </w:r>
      <w:r>
        <w:rPr>
          <w:rFonts w:hint="eastAsia" w:asciiTheme="minorEastAsia" w:hAnsiTheme="minorEastAsia" w:eastAsiaTheme="minorEastAsia"/>
          <w:color w:val="000000"/>
          <w:szCs w:val="21"/>
          <w:lang w:val="en-US" w:eastAsia="zh-CN"/>
        </w:rPr>
        <w:t>及PPT</w:t>
      </w:r>
      <w:r>
        <w:rPr>
          <w:rFonts w:hint="eastAsia" w:asciiTheme="minorEastAsia" w:hAnsiTheme="minorEastAsia" w:eastAsiaTheme="minorEastAsia"/>
          <w:color w:val="000000"/>
          <w:szCs w:val="21"/>
        </w:rPr>
        <w:t>中不允许出现队员姓名和所在院校。</w:t>
      </w:r>
    </w:p>
    <w:p>
      <w:pPr>
        <w:pStyle w:val="18"/>
        <w:spacing w:line="440" w:lineRule="exact"/>
        <w:rPr>
          <w:rFonts w:hint="eastAsia" w:asciiTheme="minorEastAsia" w:hAnsiTheme="minorEastAsia" w:eastAsiaTheme="minorEastAsia"/>
          <w:color w:val="000000"/>
          <w:szCs w:val="21"/>
        </w:rPr>
      </w:pPr>
      <w:r>
        <w:rPr>
          <w:rFonts w:asciiTheme="minorEastAsia" w:hAnsiTheme="minorEastAsia" w:eastAsiaTheme="minorEastAsia"/>
          <w:color w:val="000000"/>
          <w:szCs w:val="21"/>
        </w:rPr>
        <w:t xml:space="preserve">4. </w:t>
      </w:r>
      <w:r>
        <w:rPr>
          <w:rFonts w:hint="eastAsia" w:asciiTheme="minorEastAsia" w:hAnsiTheme="minorEastAsia" w:eastAsiaTheme="minorEastAsia"/>
          <w:color w:val="000000"/>
          <w:szCs w:val="21"/>
        </w:rPr>
        <w:t>请将</w:t>
      </w:r>
      <w:r>
        <w:rPr>
          <w:rFonts w:asciiTheme="minorEastAsia" w:hAnsiTheme="minorEastAsia" w:eastAsiaTheme="minorEastAsia"/>
          <w:color w:val="000000"/>
          <w:szCs w:val="21"/>
        </w:rPr>
        <w:t>PDF</w:t>
      </w:r>
      <w:r>
        <w:rPr>
          <w:rFonts w:hint="eastAsia" w:asciiTheme="minorEastAsia" w:hAnsiTheme="minorEastAsia" w:eastAsiaTheme="minorEastAsia"/>
          <w:color w:val="000000"/>
          <w:szCs w:val="21"/>
        </w:rPr>
        <w:t>格式商业计划书</w:t>
      </w:r>
      <w:r>
        <w:rPr>
          <w:rFonts w:hint="eastAsia" w:asciiTheme="minorEastAsia" w:hAnsiTheme="minorEastAsia" w:eastAsiaTheme="minorEastAsia"/>
          <w:color w:val="000000"/>
          <w:szCs w:val="21"/>
          <w:lang w:val="en-US" w:eastAsia="zh-CN"/>
        </w:rPr>
        <w:t>及用于展示商业计划书的竞赛PPT（PPT需转化为PDF格式）</w:t>
      </w:r>
      <w:r>
        <w:rPr>
          <w:rFonts w:hint="eastAsia" w:asciiTheme="minorEastAsia" w:hAnsiTheme="minorEastAsia" w:eastAsiaTheme="minorEastAsia"/>
          <w:color w:val="000000"/>
          <w:szCs w:val="21"/>
        </w:rPr>
        <w:t>以附件形式发送至组委会邮箱：</w:t>
      </w:r>
      <w:r>
        <w:fldChar w:fldCharType="begin"/>
      </w:r>
      <w:r>
        <w:instrText xml:space="preserve"> HYPERLINK "mailto:ccpitxdzhu@163.com" </w:instrText>
      </w:r>
      <w:r>
        <w:fldChar w:fldCharType="separate"/>
      </w:r>
      <w:r>
        <w:rPr>
          <w:rStyle w:val="12"/>
          <w:rFonts w:hint="eastAsia" w:asciiTheme="minorEastAsia" w:hAnsiTheme="minorEastAsia" w:eastAsiaTheme="minorEastAsia"/>
          <w:szCs w:val="21"/>
          <w:lang w:val="en-US" w:eastAsia="zh-CN"/>
        </w:rPr>
        <w:t>shangwudasai10</w:t>
      </w:r>
      <w:r>
        <w:rPr>
          <w:rStyle w:val="12"/>
          <w:rFonts w:hint="eastAsia" w:asciiTheme="minorEastAsia" w:hAnsiTheme="minorEastAsia" w:eastAsiaTheme="minorEastAsia"/>
          <w:szCs w:val="21"/>
        </w:rPr>
        <w:t>@163.com</w:t>
      </w:r>
      <w:r>
        <w:rPr>
          <w:rStyle w:val="12"/>
          <w:rFonts w:hint="eastAsia" w:asciiTheme="minorEastAsia" w:hAnsiTheme="minorEastAsia" w:eastAsiaTheme="minorEastAsia"/>
          <w:szCs w:val="21"/>
        </w:rPr>
        <w:fldChar w:fldCharType="end"/>
      </w:r>
      <w:r>
        <w:rPr>
          <w:rFonts w:hint="eastAsia" w:asciiTheme="minorEastAsia" w:hAnsiTheme="minorEastAsia" w:eastAsiaTheme="minorEastAsia"/>
          <w:color w:val="000000"/>
          <w:szCs w:val="21"/>
        </w:rPr>
        <w:t>，文件命名格式为</w:t>
      </w:r>
      <w:r>
        <w:rPr>
          <w:rFonts w:hint="eastAsia" w:asciiTheme="minorEastAsia" w:hAnsiTheme="minorEastAsia" w:eastAsiaTheme="minorEastAsia"/>
          <w:b/>
          <w:color w:val="000000"/>
          <w:szCs w:val="21"/>
        </w:rPr>
        <w:t>“院校名称_团队名称_组别（本科组/研究生组）_队长姓名”</w:t>
      </w:r>
      <w:r>
        <w:rPr>
          <w:rFonts w:hint="eastAsia" w:asciiTheme="minorEastAsia" w:hAnsiTheme="minorEastAsia" w:eastAsiaTheme="minorEastAsia"/>
          <w:color w:val="000000"/>
          <w:szCs w:val="21"/>
        </w:rPr>
        <w:t>。</w:t>
      </w:r>
      <w:r>
        <w:rPr>
          <w:rFonts w:asciiTheme="minorEastAsia" w:hAnsiTheme="minorEastAsia" w:eastAsiaTheme="minorEastAsia"/>
          <w:color w:val="000000"/>
          <w:szCs w:val="21"/>
        </w:rPr>
        <w:t xml:space="preserve"> </w:t>
      </w:r>
    </w:p>
    <w:p>
      <w:pPr>
        <w:pStyle w:val="18"/>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五、参赛要求</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（一）竞赛范围：大陆地区，不分赛区</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（二）参赛资格：学习会计学、财务管理等专业或相关专业的全日制在校本科生或研究生。</w:t>
      </w:r>
      <w:r>
        <w:rPr>
          <w:rFonts w:asciiTheme="minorEastAsia" w:hAnsiTheme="minorEastAsia" w:eastAsiaTheme="minorEastAsia"/>
          <w:color w:val="000000" w:themeColor="text1"/>
          <w:szCs w:val="21"/>
          <w14:textFill>
            <w14:solidFill>
              <w14:schemeClr w14:val="tx1"/>
            </w14:solidFill>
          </w14:textFill>
        </w:rPr>
        <w:t xml:space="preserve"> </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六、参赛费用</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总决赛按照每支参赛队</w:t>
      </w:r>
      <w:r>
        <w:rPr>
          <w:rFonts w:hint="eastAsia" w:asciiTheme="minorEastAsia" w:hAnsiTheme="minorEastAsia" w:eastAsiaTheme="minorEastAsia"/>
          <w:color w:val="000000" w:themeColor="text1"/>
          <w:szCs w:val="21"/>
          <w14:textFill>
            <w14:solidFill>
              <w14:schemeClr w14:val="tx1"/>
            </w14:solidFill>
          </w14:textFill>
        </w:rPr>
        <w:t>2</w:t>
      </w:r>
      <w:r>
        <w:rPr>
          <w:rFonts w:hint="eastAsia" w:asciiTheme="minorEastAsia" w:hAnsiTheme="minorEastAsia" w:eastAsiaTheme="minorEastAsia"/>
          <w:color w:val="000000" w:themeColor="text1"/>
          <w:szCs w:val="21"/>
          <w:lang w:val="en-US" w:eastAsia="zh-CN"/>
          <w14:textFill>
            <w14:solidFill>
              <w14:schemeClr w14:val="tx1"/>
            </w14:solidFill>
          </w14:textFill>
        </w:rPr>
        <w:t>000</w:t>
      </w:r>
      <w:r>
        <w:rPr>
          <w:rFonts w:hint="eastAsia" w:asciiTheme="minorEastAsia" w:hAnsiTheme="minorEastAsia" w:eastAsiaTheme="minorEastAsia"/>
          <w:color w:val="000000" w:themeColor="text1"/>
          <w:szCs w:val="21"/>
          <w14:textFill>
            <w14:solidFill>
              <w14:schemeClr w14:val="tx1"/>
            </w14:solidFill>
          </w14:textFill>
        </w:rPr>
        <w:t>元的标准收取参赛报名费，主要用于竞赛</w:t>
      </w:r>
      <w:r>
        <w:rPr>
          <w:rFonts w:hint="eastAsia" w:asciiTheme="minorEastAsia" w:hAnsiTheme="minorEastAsia" w:eastAsiaTheme="minorEastAsia"/>
          <w:color w:val="000000" w:themeColor="text1"/>
          <w:szCs w:val="21"/>
          <w:lang w:val="en-US" w:eastAsia="zh-CN"/>
          <w14:textFill>
            <w14:solidFill>
              <w14:schemeClr w14:val="tx1"/>
            </w14:solidFill>
          </w14:textFill>
        </w:rPr>
        <w:t>前期准备</w:t>
      </w:r>
      <w:r>
        <w:rPr>
          <w:rFonts w:hint="eastAsia" w:asciiTheme="minorEastAsia" w:hAnsiTheme="minorEastAsia" w:eastAsiaTheme="minorEastAsia"/>
          <w:color w:val="000000" w:themeColor="text1"/>
          <w:szCs w:val="21"/>
          <w14:textFill>
            <w14:solidFill>
              <w14:schemeClr w14:val="tx1"/>
            </w14:solidFill>
          </w14:textFill>
        </w:rPr>
        <w:t>和竞赛评审。参赛报名费请于指定日期前全额汇款至组委会账户，并注明“会计案例竞赛”。</w:t>
      </w:r>
    </w:p>
    <w:p>
      <w:pPr>
        <w:spacing w:line="440" w:lineRule="exact"/>
        <w:rPr>
          <w:rFonts w:asciiTheme="minorEastAsia" w:hAnsiTheme="minorEastAsia" w:eastAsiaTheme="minorEastAsia"/>
          <w:color w:val="000000" w:themeColor="text1"/>
          <w:szCs w:val="21"/>
          <w14:textFill>
            <w14:solidFill>
              <w14:schemeClr w14:val="tx1"/>
            </w14:solidFill>
          </w14:textFill>
        </w:rPr>
      </w:pPr>
    </w:p>
    <w:p>
      <w:pPr>
        <w:spacing w:after="312" w:afterLines="100" w:line="440" w:lineRule="exact"/>
        <w:rPr>
          <w:rFonts w:asciiTheme="minorEastAsia" w:hAnsiTheme="minorEastAsia" w:eastAsiaTheme="minorEastAsia"/>
          <w:b/>
          <w:sz w:val="28"/>
          <w:szCs w:val="28"/>
        </w:rPr>
      </w:pPr>
      <w:r>
        <w:rPr>
          <w:rFonts w:hint="eastAsia" w:asciiTheme="minorEastAsia" w:hAnsiTheme="minorEastAsia" w:eastAsiaTheme="minorEastAsia"/>
          <w:b/>
          <w:color w:val="000000" w:themeColor="text1"/>
          <w:sz w:val="28"/>
          <w:szCs w:val="28"/>
          <w14:textFill>
            <w14:solidFill>
              <w14:schemeClr w14:val="tx1"/>
            </w14:solidFill>
          </w14:textFill>
        </w:rPr>
        <w:t>七、</w:t>
      </w:r>
      <w:r>
        <w:rPr>
          <w:rFonts w:hint="eastAsia" w:asciiTheme="minorEastAsia" w:hAnsiTheme="minorEastAsia" w:eastAsiaTheme="minorEastAsia"/>
          <w:b/>
          <w:sz w:val="28"/>
          <w:szCs w:val="28"/>
        </w:rPr>
        <w:t>参赛日程</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（一）2020年3月15日前，参赛院校递交参赛院校登记表。</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（二）2020年4月15日前，参赛队递交报名表和参赛方案。</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（三）2020年4月20日前，确定入围全国总决赛名单。</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（四）2020年4月30日前，参赛院校提交最终参赛方案。</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（五）2020年5月，全国总决赛。</w:t>
      </w:r>
    </w:p>
    <w:p>
      <w:pPr>
        <w:spacing w:line="44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（六）2020年底前，海峡两岸与港澳地区总决赛，竞赛地点为澳门（暂定）。</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zCs w:val="21"/>
        </w:rPr>
        <w:t>（七）主办单位有竞赛变更之权利。如有变更，会及时通知所有参赛团队。</w:t>
      </w:r>
    </w:p>
    <w:p>
      <w:pPr>
        <w:spacing w:after="312" w:afterLines="100" w:line="440" w:lineRule="exact"/>
        <w:rPr>
          <w:rFonts w:hint="eastAsia" w:asciiTheme="minorEastAsia" w:hAnsiTheme="minorEastAsia" w:eastAsiaTheme="minorEastAsia"/>
          <w:b/>
          <w:color w:val="000000" w:themeColor="text1"/>
          <w:sz w:val="28"/>
          <w:szCs w:val="28"/>
          <w14:textFill>
            <w14:solidFill>
              <w14:schemeClr w14:val="tx1"/>
            </w14:solidFill>
          </w14:textFill>
        </w:rPr>
      </w:pPr>
    </w:p>
    <w:p>
      <w:p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八、扣分规则</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lang w:val="en-US" w:eastAsia="zh-CN"/>
          <w14:textFill>
            <w14:solidFill>
              <w14:schemeClr w14:val="tx1"/>
            </w14:solidFill>
          </w14:textFill>
        </w:rPr>
        <w:t>一）</w:t>
      </w:r>
      <w:r>
        <w:rPr>
          <w:rFonts w:hint="eastAsia" w:asciiTheme="minorEastAsia" w:hAnsiTheme="minorEastAsia" w:eastAsiaTheme="minorEastAsia"/>
          <w:color w:val="000000" w:themeColor="text1"/>
          <w:szCs w:val="21"/>
          <w14:textFill>
            <w14:solidFill>
              <w14:schemeClr w14:val="tx1"/>
            </w14:solidFill>
          </w14:textFill>
        </w:rPr>
        <w:t>策划案（封面与内容）、展示所用PPT</w:t>
      </w:r>
      <w:r>
        <w:rPr>
          <w:rFonts w:hint="eastAsia" w:asciiTheme="minorEastAsia" w:hAnsiTheme="minorEastAsia" w:eastAsiaTheme="minorEastAsia"/>
          <w:color w:val="000000" w:themeColor="text1"/>
          <w:szCs w:val="21"/>
          <w:lang w:val="en-US" w:eastAsia="zh-CN"/>
          <w14:textFill>
            <w14:solidFill>
              <w14:schemeClr w14:val="tx1"/>
            </w14:solidFill>
          </w14:textFill>
        </w:rPr>
        <w:t>中</w:t>
      </w:r>
      <w:r>
        <w:rPr>
          <w:rFonts w:hint="eastAsia" w:asciiTheme="minorEastAsia" w:hAnsiTheme="minorEastAsia" w:eastAsiaTheme="minorEastAsia"/>
          <w:color w:val="000000" w:themeColor="text1"/>
          <w:szCs w:val="21"/>
          <w14:textFill>
            <w14:solidFill>
              <w14:schemeClr w14:val="tx1"/>
            </w14:solidFill>
          </w14:textFill>
        </w:rPr>
        <w:t>出现院校信息，扣3分。</w:t>
      </w:r>
    </w:p>
    <w:p>
      <w:pPr>
        <w:spacing w:line="440" w:lineRule="exact"/>
        <w:ind w:firstLine="420" w:firstLineChars="200"/>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lang w:val="en-US" w:eastAsia="zh-CN"/>
          <w14:textFill>
            <w14:solidFill>
              <w14:schemeClr w14:val="tx1"/>
            </w14:solidFill>
          </w14:textFill>
        </w:rPr>
        <w:t>二）PPT以PDF格式提交，文件中不可包含视频、音频及超链接，出现一处扣1分。</w:t>
      </w:r>
    </w:p>
    <w:p>
      <w:pPr>
        <w:spacing w:line="440" w:lineRule="exact"/>
        <w:ind w:firstLine="420" w:firstLineChars="200"/>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（三）PPT页数不得超过60页，超出页数一页扣0.5分。</w:t>
      </w:r>
    </w:p>
    <w:p>
      <w:pPr>
        <w:spacing w:line="440" w:lineRule="exact"/>
        <w:ind w:firstLine="420" w:firstLineChars="200"/>
        <w:rPr>
          <w:rFonts w:hint="default"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（四）策划案及PPT转化为PDF格式后文件大小不可超过10MB，超过1MB扣一分。</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注：扣分在评委评分的最终成绩上扣除。</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附件：会计与商业管理案例竞赛评委用评分表 —— 学生组</w:t>
      </w:r>
    </w:p>
    <w:p>
      <w:pPr>
        <w:numPr>
          <w:ilvl w:val="0"/>
          <w:numId w:val="5"/>
        </w:numPr>
        <w:spacing w:after="312" w:afterLines="100" w:line="44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奖项设置</w:t>
      </w:r>
      <w:r>
        <w:rPr>
          <w:rFonts w:asciiTheme="minorEastAsia" w:hAnsiTheme="minorEastAsia" w:eastAsiaTheme="minorEastAsia"/>
          <w:b/>
          <w:color w:val="000000" w:themeColor="text1"/>
          <w:sz w:val="28"/>
          <w:szCs w:val="28"/>
          <w14:textFill>
            <w14:solidFill>
              <w14:schemeClr w14:val="tx1"/>
            </w14:solidFill>
          </w14:textFill>
        </w:rPr>
        <w:t xml:space="preserve"> </w:t>
      </w:r>
    </w:p>
    <w:p>
      <w:pPr>
        <w:spacing w:line="440" w:lineRule="exact"/>
        <w:ind w:firstLine="480" w:firstLineChars="200"/>
        <w:jc w:val="left"/>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知识赛：</w:t>
      </w:r>
    </w:p>
    <w:p>
      <w:pPr>
        <w:numPr>
          <w:ilvl w:val="0"/>
          <w:numId w:val="6"/>
        </w:numPr>
        <w:spacing w:line="440" w:lineRule="exact"/>
        <w:ind w:firstLine="420" w:firstLineChars="200"/>
        <w:jc w:val="left"/>
        <w:rPr>
          <w:rFonts w:hint="eastAsia" w:ascii="宋体" w:hAnsi="宋体" w:eastAsia="宋体"/>
          <w:b w:val="0"/>
          <w:bCs/>
          <w:sz w:val="21"/>
          <w:szCs w:val="21"/>
          <w:lang w:val="en-US" w:eastAsia="zh-CN"/>
        </w:rPr>
      </w:pPr>
      <w:r>
        <w:rPr>
          <w:rFonts w:hint="eastAsia" w:ascii="宋体" w:hAnsi="宋体" w:eastAsia="宋体"/>
          <w:b w:val="0"/>
          <w:bCs/>
          <w:sz w:val="21"/>
          <w:szCs w:val="21"/>
          <w:lang w:val="en-US" w:eastAsia="zh-CN"/>
        </w:rPr>
        <w:t>知识赛组委会按照成绩划线，成绩优秀的按比例设置一、二、三等奖，对上述获奖的个人，由组委会颁发荣誉证书，此外知识赛还设置最佳院校组织奖 优秀指导教师奖。</w:t>
      </w:r>
    </w:p>
    <w:p>
      <w:pPr>
        <w:numPr>
          <w:ilvl w:val="0"/>
          <w:numId w:val="6"/>
        </w:numPr>
        <w:spacing w:line="440" w:lineRule="exact"/>
        <w:ind w:firstLine="420" w:firstLineChars="200"/>
        <w:jc w:val="left"/>
        <w:rPr>
          <w:rFonts w:asciiTheme="minorEastAsia" w:hAnsiTheme="minorEastAsia" w:eastAsiaTheme="minorEastAsia"/>
          <w:b/>
          <w:color w:val="000000" w:themeColor="text1"/>
          <w:sz w:val="21"/>
          <w:szCs w:val="21"/>
          <w14:textFill>
            <w14:solidFill>
              <w14:schemeClr w14:val="tx1"/>
            </w14:solidFill>
          </w14:textFill>
        </w:rPr>
      </w:pPr>
      <w:r>
        <w:rPr>
          <w:rFonts w:hint="eastAsia" w:ascii="宋体" w:hAnsi="宋体" w:eastAsia="宋体"/>
          <w:b w:val="0"/>
          <w:bCs/>
          <w:color w:val="FF0000"/>
          <w:sz w:val="21"/>
          <w:szCs w:val="21"/>
          <w:lang w:val="en-US" w:eastAsia="zh-CN"/>
        </w:rPr>
        <w:t>知识赛成绩合格的选手可自愿申领由主办单位颁发的财会类相关证书。证书具体申请办法另行通知。</w:t>
      </w:r>
    </w:p>
    <w:p>
      <w:pPr>
        <w:numPr>
          <w:numId w:val="0"/>
        </w:numPr>
        <w:spacing w:line="440" w:lineRule="exact"/>
        <w:ind w:firstLine="281" w:firstLineChars="100"/>
        <w:jc w:val="left"/>
        <w:rPr>
          <w:rFonts w:hint="eastAsia" w:asciiTheme="minorEastAsia" w:hAnsiTheme="minorEastAsia" w:eastAsiaTheme="minorEastAsia"/>
          <w:b/>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val="0"/>
          <w:bCs/>
          <w:color w:val="000000" w:themeColor="text1"/>
          <w:sz w:val="28"/>
          <w:szCs w:val="28"/>
          <w:lang w:val="en-US" w:eastAsia="zh-CN"/>
          <w14:textFill>
            <w14:solidFill>
              <w14:schemeClr w14:val="tx1"/>
            </w14:solidFill>
          </w14:textFill>
        </w:rPr>
        <w:t>全国总决赛</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（一）全国总决赛的参赛团队本科组和研究生组，分别设置一、二、三等奖。对上述获奖的团队和个人，由主办单位颁发荣誉证书。</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（二）全国精英赛前三名的获奖团队，由主办单位分别颁发冠军、亚军和季军奖杯。冠亚季军参赛作品提炼成文章，可免费推荐发表在国家级学术期刊《中国商论》杂志。</w:t>
      </w:r>
    </w:p>
    <w:p>
      <w:pPr>
        <w:spacing w:line="440" w:lineRule="exact"/>
        <w:ind w:firstLine="420" w:firstLineChars="200"/>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本次竞赛活动还将设立最佳院校组织奖和优秀辅导教师奖等奖项。优秀指导教师奖获奖教师将优先推荐申请青年专家计划。优秀指导教师奖获奖教师的优秀论文，可免费推荐发表在国家级学术期刊《中国商论》杂志。</w:t>
      </w:r>
    </w:p>
    <w:p>
      <w:pPr>
        <w:spacing w:line="4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（四）由竞赛组委会以正式发文形式公布上述竞赛结果。</w:t>
      </w:r>
    </w:p>
    <w:p>
      <w:pPr>
        <w:spacing w:after="312" w:afterLines="100" w:line="440" w:lineRule="exact"/>
        <w:jc w:val="left"/>
        <w:rPr>
          <w:rFonts w:ascii="宋体" w:hAnsi="宋体"/>
          <w:b/>
          <w:sz w:val="28"/>
          <w:szCs w:val="28"/>
          <w:lang w:eastAsia="zh-TW"/>
        </w:rPr>
      </w:pPr>
      <w:r>
        <w:rPr>
          <w:rFonts w:hint="eastAsia" w:ascii="宋体" w:hAnsi="宋体"/>
          <w:b/>
          <w:sz w:val="28"/>
          <w:szCs w:val="28"/>
          <w:lang w:eastAsia="zh-TW"/>
        </w:rPr>
        <w:t>十、大赛组委会联系方式</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中国贸促会商业行业分会教育培训部山东办事处：</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地  址：地  址：济南市槐荫区齐鲁大道西城.西进时代B910</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联系人：靳成功    王磊    </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电  话：0531—86591892     </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邮  箱：shangwudasai10@163.com</w:t>
      </w:r>
    </w:p>
    <w:p>
      <w:pPr>
        <w:spacing w:line="440" w:lineRule="exact"/>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网  站www.sdssfw.com</w:t>
      </w:r>
    </w:p>
    <w:p>
      <w:pPr>
        <w:spacing w:line="440" w:lineRule="exact"/>
        <w:rPr>
          <w:rFonts w:asciiTheme="minorEastAsia" w:hAnsiTheme="minorEastAsia" w:eastAsiaTheme="minorEastAsia"/>
          <w:color w:val="000000" w:themeColor="text1"/>
          <w:szCs w:val="21"/>
          <w14:textFill>
            <w14:solidFill>
              <w14:schemeClr w14:val="tx1"/>
            </w14:solidFill>
          </w14:textFill>
        </w:rPr>
      </w:pPr>
      <w:bookmarkStart w:id="0" w:name="_GoBack"/>
      <w:bookmarkEnd w:id="0"/>
      <w:r>
        <w:rPr>
          <w:rFonts w:hint="eastAsia" w:asciiTheme="minorEastAsia" w:hAnsiTheme="minorEastAsia" w:eastAsiaTheme="minorEastAsia"/>
          <w:color w:val="000000" w:themeColor="text1"/>
          <w:szCs w:val="21"/>
          <w14:textFill>
            <w14:solidFill>
              <w14:schemeClr w14:val="tx1"/>
            </w14:solidFill>
          </w14:textFill>
        </w:rPr>
        <w:t xml:space="preserve">Q  Q:404218890  </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p>
    <w:p>
      <w:pPr>
        <w:widowControl/>
        <w:jc w:val="left"/>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br w:type="page"/>
      </w:r>
    </w:p>
    <w:p>
      <w:pP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附：会计与商业管理案例竞赛评委用评分表</w:t>
      </w:r>
    </w:p>
    <w:p>
      <w:pPr>
        <w:spacing w:after="156" w:afterLines="50"/>
        <w:jc w:val="center"/>
        <w:rPr>
          <w:rFonts w:asciiTheme="minorEastAsia" w:hAnsiTheme="minorEastAsia" w:eastAsiaTheme="minorEastAsia"/>
          <w:b/>
          <w:color w:val="000000"/>
          <w:sz w:val="32"/>
          <w:szCs w:val="32"/>
        </w:rPr>
      </w:pPr>
    </w:p>
    <w:p>
      <w:pPr>
        <w:spacing w:after="156" w:afterLines="50"/>
        <w:jc w:val="center"/>
        <w:rPr>
          <w:rFonts w:asciiTheme="minorEastAsia" w:hAnsiTheme="minorEastAsia" w:eastAsiaTheme="minorEastAsia"/>
          <w:b/>
          <w:color w:val="000000"/>
          <w:sz w:val="32"/>
          <w:szCs w:val="32"/>
        </w:rPr>
      </w:pPr>
      <w:r>
        <w:rPr>
          <w:rFonts w:hint="eastAsia" w:asciiTheme="minorEastAsia" w:hAnsiTheme="minorEastAsia" w:eastAsiaTheme="minorEastAsia"/>
          <w:b/>
          <w:color w:val="000000"/>
          <w:sz w:val="32"/>
          <w:szCs w:val="32"/>
        </w:rPr>
        <w:t>全国预选赛评分表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267"/>
        <w:gridCol w:w="1367"/>
        <w:gridCol w:w="1367"/>
        <w:gridCol w:w="136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案例竞赛报告</w:t>
            </w:r>
          </w:p>
          <w:p>
            <w:pPr>
              <w:jc w:val="lef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内容</w:t>
            </w:r>
            <w:r>
              <w:rPr>
                <w:rFonts w:asciiTheme="minorEastAsia" w:hAnsiTheme="minorEastAsia" w:eastAsiaTheme="minorEastAsia"/>
                <w:b/>
                <w:color w:val="000000"/>
                <w:szCs w:val="21"/>
              </w:rPr>
              <w:t xml:space="preserve"> </w:t>
            </w:r>
            <w:r>
              <w:rPr>
                <w:rFonts w:hint="eastAsia" w:asciiTheme="minorEastAsia" w:hAnsiTheme="minorEastAsia" w:eastAsiaTheme="minorEastAsia"/>
                <w:b/>
                <w:color w:val="000000"/>
                <w:szCs w:val="21"/>
              </w:rPr>
              <w:t>（10</w:t>
            </w:r>
            <w:r>
              <w:rPr>
                <w:rFonts w:asciiTheme="minorEastAsia" w:hAnsiTheme="minorEastAsia" w:eastAsiaTheme="minorEastAsia"/>
                <w:b/>
                <w:color w:val="000000"/>
                <w:szCs w:val="21"/>
              </w:rPr>
              <w:t>0</w:t>
            </w:r>
            <w:r>
              <w:rPr>
                <w:rFonts w:hint="eastAsia" w:asciiTheme="minorEastAsia" w:hAnsiTheme="minorEastAsia" w:eastAsiaTheme="minorEastAsia"/>
                <w:b/>
                <w:color w:val="000000"/>
                <w:szCs w:val="21"/>
              </w:rPr>
              <w:t>分）</w:t>
            </w:r>
          </w:p>
        </w:tc>
        <w:tc>
          <w:tcPr>
            <w:tcW w:w="12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中差</w:t>
            </w:r>
          </w:p>
        </w:tc>
        <w:tc>
          <w:tcPr>
            <w:tcW w:w="1367"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中等</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好</w:t>
            </w:r>
          </w:p>
        </w:tc>
        <w:tc>
          <w:tcPr>
            <w:tcW w:w="1368" w:type="dxa"/>
            <w:vAlign w:val="center"/>
          </w:tcPr>
          <w:p>
            <w:pPr>
              <w:jc w:val="center"/>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极好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内容完整程度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问题识别</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论述和决策确认的清晰程度</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结论的正确有效性</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财务与会计知识的运用</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r>
              <w:rPr>
                <w:rFonts w:hint="eastAsia" w:asciiTheme="minorEastAsia" w:hAnsiTheme="minorEastAsia" w:eastAsiaTheme="minorEastAsia"/>
                <w:color w:val="000000"/>
                <w:szCs w:val="21"/>
              </w:rPr>
              <w:t xml:space="preserve">  3  4</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5  6</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7  8</w:t>
            </w:r>
          </w:p>
        </w:tc>
        <w:tc>
          <w:tcPr>
            <w:tcW w:w="1367"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9  10 11 12</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13</w:t>
            </w:r>
            <w:r>
              <w:rPr>
                <w:rFonts w:asciiTheme="minorEastAsia" w:hAnsiTheme="minorEastAsia" w:eastAsiaTheme="minorEastAsia"/>
                <w:color w:val="000000"/>
                <w:szCs w:val="21"/>
              </w:rPr>
              <w:t xml:space="preserve"> </w:t>
            </w:r>
            <w:r>
              <w:rPr>
                <w:rFonts w:hint="eastAsia" w:asciiTheme="minorEastAsia" w:hAnsiTheme="minorEastAsia" w:eastAsiaTheme="minorEastAsia"/>
                <w:color w:val="000000"/>
                <w:szCs w:val="21"/>
              </w:rPr>
              <w:t>14 15 16</w:t>
            </w:r>
          </w:p>
        </w:tc>
        <w:tc>
          <w:tcPr>
            <w:tcW w:w="1368" w:type="dxa"/>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17 18 19 20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1785" w:type="dxa"/>
            <w:vAlign w:val="center"/>
          </w:tcPr>
          <w:p>
            <w:pPr>
              <w:jc w:val="lef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报告和阐释形式</w:t>
            </w:r>
          </w:p>
        </w:tc>
        <w:tc>
          <w:tcPr>
            <w:tcW w:w="12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1     2</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3      4</w:t>
            </w:r>
          </w:p>
        </w:tc>
        <w:tc>
          <w:tcPr>
            <w:tcW w:w="1367"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5      6</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7    8</w:t>
            </w:r>
          </w:p>
        </w:tc>
        <w:tc>
          <w:tcPr>
            <w:tcW w:w="1368" w:type="dxa"/>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9      10</w:t>
            </w:r>
          </w:p>
        </w:tc>
      </w:tr>
    </w:tbl>
    <w:p>
      <w:pPr>
        <w:rPr>
          <w:rFonts w:asciiTheme="minorEastAsia" w:hAnsiTheme="minorEastAsia" w:eastAsiaTheme="minorEastAsia"/>
          <w:color w:val="000000"/>
          <w:szCs w:val="21"/>
        </w:rPr>
      </w:pPr>
    </w:p>
    <w:p>
      <w:pPr>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p>
      <w:pPr>
        <w:widowControl/>
        <w:jc w:val="left"/>
        <w:rPr>
          <w:rFonts w:asciiTheme="minorEastAsia" w:hAnsiTheme="minorEastAsia" w:eastAsiaTheme="minorEastAsia"/>
          <w:color w:val="00000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849565"/>
    </w:sdtPr>
    <w:sdtContent>
      <w:p>
        <w:pPr>
          <w:pStyle w:val="4"/>
          <w:jc w:val="center"/>
        </w:pPr>
        <w:r>
          <w:fldChar w:fldCharType="begin"/>
        </w:r>
        <w:r>
          <w:instrText xml:space="preserve">PAGE   \* MERGEFORMAT</w:instrText>
        </w:r>
        <w:r>
          <w:fldChar w:fldCharType="separate"/>
        </w:r>
        <w:r>
          <w:rPr>
            <w:lang w:val="zh-CN"/>
          </w:rPr>
          <w:t>7</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052097"/>
    <w:multiLevelType w:val="singleLevel"/>
    <w:tmpl w:val="95052097"/>
    <w:lvl w:ilvl="0" w:tentative="0">
      <w:start w:val="9"/>
      <w:numFmt w:val="chineseCounting"/>
      <w:suff w:val="nothing"/>
      <w:lvlText w:val="%1、"/>
      <w:lvlJc w:val="left"/>
      <w:rPr>
        <w:rFonts w:hint="eastAsia"/>
      </w:rPr>
    </w:lvl>
  </w:abstractNum>
  <w:abstractNum w:abstractNumId="1">
    <w:nsid w:val="21EADBA9"/>
    <w:multiLevelType w:val="singleLevel"/>
    <w:tmpl w:val="21EADBA9"/>
    <w:lvl w:ilvl="0" w:tentative="0">
      <w:start w:val="1"/>
      <w:numFmt w:val="chineseCounting"/>
      <w:suff w:val="nothing"/>
      <w:lvlText w:val="（%1）"/>
      <w:lvlJc w:val="left"/>
      <w:rPr>
        <w:rFonts w:hint="eastAsia"/>
      </w:rPr>
    </w:lvl>
  </w:abstractNum>
  <w:abstractNum w:abstractNumId="2">
    <w:nsid w:val="422709DE"/>
    <w:multiLevelType w:val="multilevel"/>
    <w:tmpl w:val="422709DE"/>
    <w:lvl w:ilvl="0" w:tentative="0">
      <w:start w:val="1"/>
      <w:numFmt w:val="decimal"/>
      <w:lvlText w:val="%1."/>
      <w:lvlJc w:val="left"/>
      <w:pPr>
        <w:ind w:left="1129" w:hanging="420"/>
      </w:pPr>
      <w:rPr>
        <w:rFonts w:hint="eastAsia"/>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1FC6B63"/>
    <w:multiLevelType w:val="multilevel"/>
    <w:tmpl w:val="51FC6B63"/>
    <w:lvl w:ilvl="0" w:tentative="0">
      <w:start w:val="3"/>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819B016"/>
    <w:multiLevelType w:val="singleLevel"/>
    <w:tmpl w:val="5819B016"/>
    <w:lvl w:ilvl="0" w:tentative="0">
      <w:start w:val="1"/>
      <w:numFmt w:val="decimal"/>
      <w:lvlText w:val="%1."/>
      <w:lvlJc w:val="left"/>
      <w:pPr>
        <w:ind w:left="420" w:hanging="420"/>
      </w:pPr>
      <w:rPr>
        <w:rFonts w:hint="eastAsia"/>
      </w:rPr>
    </w:lvl>
  </w:abstractNum>
  <w:abstractNum w:abstractNumId="5">
    <w:nsid w:val="65D15972"/>
    <w:multiLevelType w:val="multilevel"/>
    <w:tmpl w:val="65D15972"/>
    <w:lvl w:ilvl="0" w:tentative="0">
      <w:start w:val="2"/>
      <w:numFmt w:val="bullet"/>
      <w:lvlText w:val="●"/>
      <w:lvlJc w:val="left"/>
      <w:pPr>
        <w:ind w:left="1200" w:hanging="360"/>
      </w:pPr>
      <w:rPr>
        <w:rFonts w:hint="eastAsia" w:ascii="微软雅黑" w:hAnsi="微软雅黑" w:eastAsia="微软雅黑"/>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BC1"/>
    <w:rsid w:val="00006697"/>
    <w:rsid w:val="0001534C"/>
    <w:rsid w:val="00015916"/>
    <w:rsid w:val="00037978"/>
    <w:rsid w:val="00042C54"/>
    <w:rsid w:val="00060112"/>
    <w:rsid w:val="000623E3"/>
    <w:rsid w:val="00065A5E"/>
    <w:rsid w:val="0008484E"/>
    <w:rsid w:val="000A671E"/>
    <w:rsid w:val="000A7A2E"/>
    <w:rsid w:val="000B6306"/>
    <w:rsid w:val="000D1576"/>
    <w:rsid w:val="000E125D"/>
    <w:rsid w:val="000F772E"/>
    <w:rsid w:val="0010503D"/>
    <w:rsid w:val="00105B95"/>
    <w:rsid w:val="0011504A"/>
    <w:rsid w:val="00155962"/>
    <w:rsid w:val="00160C80"/>
    <w:rsid w:val="0017331B"/>
    <w:rsid w:val="00173F56"/>
    <w:rsid w:val="00176BD9"/>
    <w:rsid w:val="00187F73"/>
    <w:rsid w:val="00192C8F"/>
    <w:rsid w:val="001E443E"/>
    <w:rsid w:val="0020266A"/>
    <w:rsid w:val="00240236"/>
    <w:rsid w:val="002429C2"/>
    <w:rsid w:val="00247F5A"/>
    <w:rsid w:val="00261283"/>
    <w:rsid w:val="002634A2"/>
    <w:rsid w:val="00276421"/>
    <w:rsid w:val="0028054C"/>
    <w:rsid w:val="00282234"/>
    <w:rsid w:val="00296C62"/>
    <w:rsid w:val="002B0367"/>
    <w:rsid w:val="002D44B6"/>
    <w:rsid w:val="002F0B91"/>
    <w:rsid w:val="00301B0E"/>
    <w:rsid w:val="003051A4"/>
    <w:rsid w:val="003439FB"/>
    <w:rsid w:val="003459AA"/>
    <w:rsid w:val="0035794C"/>
    <w:rsid w:val="00373B56"/>
    <w:rsid w:val="003A3C4A"/>
    <w:rsid w:val="003A6214"/>
    <w:rsid w:val="003B7066"/>
    <w:rsid w:val="003D2101"/>
    <w:rsid w:val="003D3CAB"/>
    <w:rsid w:val="00400C29"/>
    <w:rsid w:val="0040307E"/>
    <w:rsid w:val="00451E01"/>
    <w:rsid w:val="00454E13"/>
    <w:rsid w:val="00474E56"/>
    <w:rsid w:val="00493B87"/>
    <w:rsid w:val="00493D16"/>
    <w:rsid w:val="004A1888"/>
    <w:rsid w:val="004A48BA"/>
    <w:rsid w:val="004C3D50"/>
    <w:rsid w:val="004E3D1F"/>
    <w:rsid w:val="004F56ED"/>
    <w:rsid w:val="0050264C"/>
    <w:rsid w:val="00506089"/>
    <w:rsid w:val="00512E02"/>
    <w:rsid w:val="005242FB"/>
    <w:rsid w:val="00525F6F"/>
    <w:rsid w:val="00533500"/>
    <w:rsid w:val="00545047"/>
    <w:rsid w:val="00572672"/>
    <w:rsid w:val="005E4961"/>
    <w:rsid w:val="005E6B18"/>
    <w:rsid w:val="005E7031"/>
    <w:rsid w:val="005F2A59"/>
    <w:rsid w:val="0060423D"/>
    <w:rsid w:val="0062020D"/>
    <w:rsid w:val="00640A32"/>
    <w:rsid w:val="00664BC1"/>
    <w:rsid w:val="0068094F"/>
    <w:rsid w:val="006A2CD8"/>
    <w:rsid w:val="006B6DD4"/>
    <w:rsid w:val="006B6E1D"/>
    <w:rsid w:val="006D23BC"/>
    <w:rsid w:val="006E24F2"/>
    <w:rsid w:val="006E48DD"/>
    <w:rsid w:val="006F7165"/>
    <w:rsid w:val="0070217F"/>
    <w:rsid w:val="00721377"/>
    <w:rsid w:val="00727251"/>
    <w:rsid w:val="00734914"/>
    <w:rsid w:val="00736759"/>
    <w:rsid w:val="00737DBD"/>
    <w:rsid w:val="00762C68"/>
    <w:rsid w:val="007D267F"/>
    <w:rsid w:val="007E36AD"/>
    <w:rsid w:val="007E3BDC"/>
    <w:rsid w:val="007E7280"/>
    <w:rsid w:val="008012BF"/>
    <w:rsid w:val="00807DDA"/>
    <w:rsid w:val="00836118"/>
    <w:rsid w:val="00842ED9"/>
    <w:rsid w:val="008458EA"/>
    <w:rsid w:val="0085140C"/>
    <w:rsid w:val="00863D6C"/>
    <w:rsid w:val="008B7B64"/>
    <w:rsid w:val="00912840"/>
    <w:rsid w:val="00913C28"/>
    <w:rsid w:val="009161E7"/>
    <w:rsid w:val="009566C0"/>
    <w:rsid w:val="0096583D"/>
    <w:rsid w:val="00982721"/>
    <w:rsid w:val="0099798E"/>
    <w:rsid w:val="009B0405"/>
    <w:rsid w:val="009C1C80"/>
    <w:rsid w:val="009C388C"/>
    <w:rsid w:val="009C5C65"/>
    <w:rsid w:val="009D6423"/>
    <w:rsid w:val="009D7A75"/>
    <w:rsid w:val="009F392F"/>
    <w:rsid w:val="009F5F27"/>
    <w:rsid w:val="00A00A91"/>
    <w:rsid w:val="00A02A7A"/>
    <w:rsid w:val="00A067B7"/>
    <w:rsid w:val="00A10AD3"/>
    <w:rsid w:val="00A118BC"/>
    <w:rsid w:val="00A24624"/>
    <w:rsid w:val="00A249C3"/>
    <w:rsid w:val="00A47E92"/>
    <w:rsid w:val="00AA77C5"/>
    <w:rsid w:val="00AC359A"/>
    <w:rsid w:val="00B030AA"/>
    <w:rsid w:val="00B05577"/>
    <w:rsid w:val="00B23715"/>
    <w:rsid w:val="00B31650"/>
    <w:rsid w:val="00B82209"/>
    <w:rsid w:val="00B86DCE"/>
    <w:rsid w:val="00B96245"/>
    <w:rsid w:val="00BB352B"/>
    <w:rsid w:val="00BB66DB"/>
    <w:rsid w:val="00BD47F4"/>
    <w:rsid w:val="00BF0901"/>
    <w:rsid w:val="00C04193"/>
    <w:rsid w:val="00C0621C"/>
    <w:rsid w:val="00C07F4E"/>
    <w:rsid w:val="00C13EEB"/>
    <w:rsid w:val="00C150B5"/>
    <w:rsid w:val="00C53154"/>
    <w:rsid w:val="00C56D13"/>
    <w:rsid w:val="00C64CFB"/>
    <w:rsid w:val="00C832FB"/>
    <w:rsid w:val="00C862E2"/>
    <w:rsid w:val="00C95B5A"/>
    <w:rsid w:val="00C9789E"/>
    <w:rsid w:val="00CA03C6"/>
    <w:rsid w:val="00CB6270"/>
    <w:rsid w:val="00D059C1"/>
    <w:rsid w:val="00D1721D"/>
    <w:rsid w:val="00D30A41"/>
    <w:rsid w:val="00D652F6"/>
    <w:rsid w:val="00D662B3"/>
    <w:rsid w:val="00D9787D"/>
    <w:rsid w:val="00DC7F10"/>
    <w:rsid w:val="00DD4974"/>
    <w:rsid w:val="00E0758D"/>
    <w:rsid w:val="00E204BA"/>
    <w:rsid w:val="00E27A57"/>
    <w:rsid w:val="00E34B9C"/>
    <w:rsid w:val="00E400A3"/>
    <w:rsid w:val="00E4166E"/>
    <w:rsid w:val="00E4679F"/>
    <w:rsid w:val="00E54F68"/>
    <w:rsid w:val="00E60F87"/>
    <w:rsid w:val="00E76CE9"/>
    <w:rsid w:val="00E869B4"/>
    <w:rsid w:val="00EA18AD"/>
    <w:rsid w:val="00ED049A"/>
    <w:rsid w:val="00EE22CD"/>
    <w:rsid w:val="00EF1396"/>
    <w:rsid w:val="00F22242"/>
    <w:rsid w:val="00F6189C"/>
    <w:rsid w:val="00F62880"/>
    <w:rsid w:val="00F74763"/>
    <w:rsid w:val="00F8121A"/>
    <w:rsid w:val="00FA3FAB"/>
    <w:rsid w:val="00FA76EC"/>
    <w:rsid w:val="00FA79FC"/>
    <w:rsid w:val="00FC0765"/>
    <w:rsid w:val="00FE5405"/>
    <w:rsid w:val="00FF2396"/>
    <w:rsid w:val="00FF33E5"/>
    <w:rsid w:val="00FF6018"/>
    <w:rsid w:val="04C7321D"/>
    <w:rsid w:val="10F06599"/>
    <w:rsid w:val="1F3175C1"/>
    <w:rsid w:val="20C310F3"/>
    <w:rsid w:val="281015E0"/>
    <w:rsid w:val="2BA672A2"/>
    <w:rsid w:val="31F673A4"/>
    <w:rsid w:val="376B05C7"/>
    <w:rsid w:val="3F525AD2"/>
    <w:rsid w:val="47615E80"/>
    <w:rsid w:val="49720CB3"/>
    <w:rsid w:val="577D165B"/>
    <w:rsid w:val="593877E8"/>
    <w:rsid w:val="612F4C35"/>
    <w:rsid w:val="62AF6DD9"/>
    <w:rsid w:val="62C4105C"/>
    <w:rsid w:val="69211935"/>
    <w:rsid w:val="77A65C44"/>
    <w:rsid w:val="7A120FF9"/>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2"/>
    <w:next w:val="2"/>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unhideWhenUsed/>
    <w:qFormat/>
    <w:uiPriority w:val="99"/>
    <w:rPr>
      <w:sz w:val="21"/>
      <w:szCs w:val="21"/>
    </w:rPr>
  </w:style>
  <w:style w:type="character" w:customStyle="1" w:styleId="14">
    <w:name w:val="批注文字 Char"/>
    <w:basedOn w:val="11"/>
    <w:link w:val="2"/>
    <w:semiHidden/>
    <w:qFormat/>
    <w:uiPriority w:val="99"/>
    <w:rPr>
      <w:rFonts w:ascii="Calibri" w:hAnsi="Calibri" w:eastAsia="宋体" w:cs="Times New Roman"/>
    </w:rPr>
  </w:style>
  <w:style w:type="character" w:customStyle="1" w:styleId="15">
    <w:name w:val="批注框文本 Char"/>
    <w:basedOn w:val="11"/>
    <w:link w:val="3"/>
    <w:semiHidden/>
    <w:qFormat/>
    <w:uiPriority w:val="99"/>
    <w:rPr>
      <w:rFonts w:ascii="Calibri" w:hAnsi="Calibri" w:eastAsia="宋体" w:cs="Times New Roman"/>
      <w:sz w:val="18"/>
      <w:szCs w:val="18"/>
    </w:rPr>
  </w:style>
  <w:style w:type="character" w:customStyle="1" w:styleId="16">
    <w:name w:val="页眉 Char"/>
    <w:basedOn w:val="11"/>
    <w:link w:val="5"/>
    <w:qFormat/>
    <w:uiPriority w:val="99"/>
    <w:rPr>
      <w:rFonts w:ascii="Calibri" w:hAnsi="Calibri" w:eastAsia="宋体" w:cs="Times New Roman"/>
      <w:sz w:val="18"/>
      <w:szCs w:val="18"/>
    </w:rPr>
  </w:style>
  <w:style w:type="character" w:customStyle="1" w:styleId="17">
    <w:name w:val="页脚 Char"/>
    <w:basedOn w:val="11"/>
    <w:link w:val="4"/>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HTML 预设格式 Char"/>
    <w:basedOn w:val="11"/>
    <w:link w:val="6"/>
    <w:qFormat/>
    <w:uiPriority w:val="99"/>
    <w:rPr>
      <w:rFonts w:ascii="宋体" w:hAnsi="宋体" w:eastAsia="宋体" w:cs="宋体"/>
      <w:sz w:val="24"/>
      <w:szCs w:val="24"/>
    </w:rPr>
  </w:style>
  <w:style w:type="character" w:customStyle="1" w:styleId="20">
    <w:name w:val="批注主题 Char"/>
    <w:basedOn w:val="14"/>
    <w:link w:val="8"/>
    <w:semiHidden/>
    <w:qFormat/>
    <w:uiPriority w:val="99"/>
    <w:rPr>
      <w:rFonts w:ascii="Calibri" w:hAnsi="Calibri" w:eastAsia="宋体" w:cs="Times New Roman"/>
      <w:b/>
      <w:bCs/>
      <w:kern w:val="2"/>
      <w:sz w:val="21"/>
      <w:szCs w:val="22"/>
    </w:rPr>
  </w:style>
  <w:style w:type="table" w:customStyle="1" w:styleId="21">
    <w:name w:val="网格型1"/>
    <w:basedOn w:val="9"/>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680</Words>
  <Characters>3879</Characters>
  <Lines>32</Lines>
  <Paragraphs>9</Paragraphs>
  <TotalTime>1</TotalTime>
  <ScaleCrop>false</ScaleCrop>
  <LinksUpToDate>false</LinksUpToDate>
  <CharactersWithSpaces>4550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2019-09-20T05:10:00Z</dcterms:created>
  <dc:creator>Lenovo</dc:creator>
  <cp:lastModifiedBy>靳成功</cp:lastModifiedBy>
  <dcterms:modified xsi:type="dcterms:W3CDTF">2020-02-24T08:48:00Z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