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74A01">
      <w:pPr>
        <w:pStyle w:val="2"/>
        <w:ind w:firstLine="0" w:firstLineChars="0"/>
      </w:pPr>
    </w:p>
    <w:p w14:paraId="02245A60">
      <w:pPr>
        <w:pStyle w:val="2"/>
        <w:ind w:firstLine="0" w:firstLineChars="0"/>
      </w:pPr>
    </w:p>
    <w:p w14:paraId="5F9C974F">
      <w:pPr>
        <w:widowControl/>
        <w:spacing w:line="560" w:lineRule="exact"/>
        <w:jc w:val="center"/>
        <w:rPr>
          <w:rFonts w:hint="eastAsia" w:ascii="方正小标宋简体" w:hAnsi="宋体" w:eastAsia="方正小标宋简体" w:cs="黑体"/>
          <w:sz w:val="44"/>
          <w:szCs w:val="44"/>
        </w:rPr>
      </w:pPr>
      <w:bookmarkStart w:id="0" w:name="OLE_LINK1"/>
      <w:r>
        <w:rPr>
          <w:rFonts w:hint="eastAsia" w:ascii="方正小标宋简体" w:hAnsi="宋体" w:eastAsia="方正小标宋简体" w:cs="黑体"/>
          <w:kern w:val="0"/>
          <w:sz w:val="44"/>
          <w:szCs w:val="44"/>
        </w:rPr>
        <w:t>第十七届全国商科教育实践教学大赛</w:t>
      </w:r>
    </w:p>
    <w:bookmarkEnd w:id="0"/>
    <w:p w14:paraId="373E95C2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作 品 填 报</w:t>
      </w:r>
    </w:p>
    <w:p w14:paraId="75636D43">
      <w:pPr>
        <w:snapToGrid w:val="0"/>
        <w:jc w:val="center"/>
        <w:rPr>
          <w:rFonts w:ascii="黑体" w:eastAsia="黑体"/>
          <w:color w:val="000000"/>
          <w:sz w:val="52"/>
          <w:szCs w:val="52"/>
        </w:rPr>
      </w:pPr>
    </w:p>
    <w:p w14:paraId="233DA15D">
      <w:pPr>
        <w:snapToGrid w:val="0"/>
        <w:jc w:val="center"/>
        <w:rPr>
          <w:rFonts w:ascii="黑体" w:eastAsia="黑体"/>
          <w:color w:val="000000"/>
          <w:sz w:val="52"/>
          <w:szCs w:val="52"/>
        </w:rPr>
      </w:pPr>
    </w:p>
    <w:p w14:paraId="2E954979">
      <w:pPr>
        <w:snapToGrid w:val="0"/>
        <w:jc w:val="center"/>
        <w:rPr>
          <w:rFonts w:ascii="黑体" w:eastAsia="黑体"/>
          <w:color w:val="000000"/>
          <w:sz w:val="52"/>
          <w:szCs w:val="52"/>
        </w:rPr>
      </w:pPr>
    </w:p>
    <w:p w14:paraId="53EA9E48">
      <w:pPr>
        <w:snapToGrid w:val="0"/>
        <w:rPr>
          <w:rFonts w:ascii="黑体" w:eastAsia="黑体"/>
          <w:color w:val="000000"/>
        </w:rPr>
      </w:pPr>
    </w:p>
    <w:p w14:paraId="44A9CE16">
      <w:pPr>
        <w:snapToGrid w:val="0"/>
        <w:spacing w:line="360" w:lineRule="exact"/>
        <w:rPr>
          <w:rFonts w:ascii="黑体" w:eastAsia="黑体"/>
          <w:b/>
          <w:color w:val="000000"/>
          <w:sz w:val="24"/>
        </w:rPr>
      </w:pPr>
    </w:p>
    <w:p w14:paraId="100E3E83">
      <w:pPr>
        <w:snapToGrid w:val="0"/>
        <w:spacing w:line="360" w:lineRule="exact"/>
        <w:ind w:left="2798" w:leftChars="400" w:hanging="1958" w:hangingChars="650"/>
        <w:rPr>
          <w:rFonts w:ascii="黑体" w:eastAsia="黑体"/>
          <w:b/>
          <w:color w:val="000000"/>
          <w:sz w:val="30"/>
          <w:szCs w:val="30"/>
          <w:u w:val="single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  参  赛  组  别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 </w:t>
      </w:r>
    </w:p>
    <w:p w14:paraId="32538494">
      <w:pPr>
        <w:snapToGrid w:val="0"/>
        <w:spacing w:line="360" w:lineRule="exact"/>
        <w:ind w:left="2798" w:leftChars="400" w:hanging="1958" w:hangingChars="650"/>
        <w:rPr>
          <w:rFonts w:ascii="黑体" w:eastAsia="黑体"/>
          <w:b/>
          <w:color w:val="000000"/>
          <w:sz w:val="30"/>
          <w:szCs w:val="30"/>
        </w:rPr>
      </w:pPr>
    </w:p>
    <w:p w14:paraId="46F6935B">
      <w:pPr>
        <w:snapToGrid w:val="0"/>
        <w:spacing w:line="360" w:lineRule="exact"/>
        <w:ind w:left="2798" w:leftChars="400" w:hanging="1958" w:hangingChars="65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  作  品  名  称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 </w:t>
      </w:r>
    </w:p>
    <w:p w14:paraId="174F0588">
      <w:pPr>
        <w:snapToGrid w:val="0"/>
        <w:spacing w:line="360" w:lineRule="exact"/>
        <w:rPr>
          <w:rFonts w:ascii="黑体" w:eastAsia="黑体"/>
          <w:b/>
          <w:color w:val="000000"/>
          <w:sz w:val="30"/>
          <w:szCs w:val="30"/>
        </w:rPr>
      </w:pPr>
    </w:p>
    <w:p w14:paraId="3723BE63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  <w:u w:val="single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>项 目 负 责 人</w:t>
      </w:r>
      <w:r>
        <w:rPr>
          <w:rFonts w:hint="eastAsia" w:ascii="黑体" w:eastAsia="黑体"/>
          <w:b/>
          <w:color w:val="000000"/>
          <w:sz w:val="30"/>
          <w:szCs w:val="30"/>
        </w:rPr>
        <w:tab/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 </w:t>
      </w:r>
    </w:p>
    <w:p w14:paraId="5C564742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  <w:u w:val="single"/>
        </w:rPr>
      </w:pPr>
    </w:p>
    <w:p w14:paraId="19FE470B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联 </w:t>
      </w:r>
      <w:r>
        <w:rPr>
          <w:rFonts w:ascii="黑体" w:eastAsia="黑体"/>
          <w:b/>
          <w:color w:val="000000"/>
          <w:sz w:val="30"/>
          <w:szCs w:val="30"/>
        </w:rPr>
        <w:t xml:space="preserve"> </w:t>
      </w:r>
      <w:r>
        <w:rPr>
          <w:rFonts w:hint="eastAsia" w:ascii="黑体" w:eastAsia="黑体"/>
          <w:b/>
          <w:color w:val="000000"/>
          <w:sz w:val="30"/>
          <w:szCs w:val="30"/>
        </w:rPr>
        <w:t xml:space="preserve">系 </w:t>
      </w:r>
      <w:r>
        <w:rPr>
          <w:rFonts w:ascii="黑体" w:eastAsia="黑体"/>
          <w:b/>
          <w:color w:val="000000"/>
          <w:sz w:val="30"/>
          <w:szCs w:val="30"/>
        </w:rPr>
        <w:t xml:space="preserve"> </w:t>
      </w:r>
      <w:r>
        <w:rPr>
          <w:rFonts w:hint="eastAsia" w:ascii="黑体" w:eastAsia="黑体"/>
          <w:b/>
          <w:color w:val="000000"/>
          <w:sz w:val="30"/>
          <w:szCs w:val="30"/>
        </w:rPr>
        <w:t xml:space="preserve">方 </w:t>
      </w:r>
      <w:r>
        <w:rPr>
          <w:rFonts w:ascii="黑体" w:eastAsia="黑体"/>
          <w:b/>
          <w:color w:val="000000"/>
          <w:sz w:val="30"/>
          <w:szCs w:val="30"/>
        </w:rPr>
        <w:t xml:space="preserve"> </w:t>
      </w:r>
      <w:r>
        <w:rPr>
          <w:rFonts w:hint="eastAsia" w:ascii="黑体" w:eastAsia="黑体"/>
          <w:b/>
          <w:color w:val="000000"/>
          <w:sz w:val="30"/>
          <w:szCs w:val="30"/>
        </w:rPr>
        <w:t>式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/>
          <w:b/>
          <w:color w:val="000000"/>
          <w:sz w:val="30"/>
          <w:szCs w:val="30"/>
          <w:u w:val="single"/>
        </w:rPr>
        <w:t xml:space="preserve">                           </w:t>
      </w:r>
    </w:p>
    <w:p w14:paraId="424E4118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</w:p>
    <w:p w14:paraId="68E5A48F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项 目 组 成 员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        </w:t>
      </w:r>
      <w:r>
        <w:rPr>
          <w:rFonts w:hint="eastAsia" w:ascii="黑体" w:eastAsia="黑体"/>
          <w:b/>
          <w:color w:val="000000"/>
          <w:sz w:val="30"/>
          <w:szCs w:val="30"/>
        </w:rPr>
        <w:t xml:space="preserve"> </w:t>
      </w:r>
    </w:p>
    <w:p w14:paraId="081B9923">
      <w:pPr>
        <w:snapToGrid w:val="0"/>
        <w:spacing w:line="360" w:lineRule="exact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 </w:t>
      </w:r>
    </w:p>
    <w:p w14:paraId="7456282C">
      <w:pPr>
        <w:snapToGrid w:val="0"/>
        <w:spacing w:line="360" w:lineRule="exact"/>
        <w:ind w:right="-512" w:rightChars="-244" w:firstLine="1205" w:firstLineChars="400"/>
        <w:rPr>
          <w:rFonts w:ascii="黑体" w:eastAsia="黑体"/>
          <w:b/>
          <w:color w:val="000000"/>
          <w:sz w:val="30"/>
          <w:szCs w:val="30"/>
        </w:rPr>
      </w:pPr>
      <w:r>
        <w:rPr>
          <w:rFonts w:hint="eastAsia" w:ascii="黑体" w:eastAsia="黑体"/>
          <w:b/>
          <w:color w:val="000000"/>
          <w:sz w:val="30"/>
          <w:szCs w:val="30"/>
        </w:rPr>
        <w:t xml:space="preserve">负责人所在单位 </w:t>
      </w:r>
      <w:r>
        <w:rPr>
          <w:rFonts w:hint="eastAsia" w:ascii="黑体" w:eastAsia="黑体"/>
          <w:b/>
          <w:color w:val="000000"/>
          <w:sz w:val="30"/>
          <w:szCs w:val="30"/>
          <w:u w:val="single"/>
        </w:rPr>
        <w:t xml:space="preserve">                   （公章）</w:t>
      </w:r>
    </w:p>
    <w:p w14:paraId="5CF17C1F">
      <w:pPr>
        <w:snapToGrid w:val="0"/>
        <w:spacing w:line="360" w:lineRule="exact"/>
        <w:ind w:firstLine="1205" w:firstLineChars="400"/>
        <w:rPr>
          <w:rFonts w:ascii="黑体" w:eastAsia="黑体"/>
          <w:b/>
          <w:color w:val="000000"/>
          <w:sz w:val="30"/>
          <w:szCs w:val="30"/>
        </w:rPr>
      </w:pPr>
    </w:p>
    <w:p w14:paraId="253ACBF8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39BE2068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3A5E2D36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36584C6C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6002452B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393EA644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7B58137C">
      <w:pPr>
        <w:snapToGrid w:val="0"/>
        <w:spacing w:line="400" w:lineRule="exact"/>
        <w:rPr>
          <w:rFonts w:ascii="黑体" w:eastAsia="黑体"/>
          <w:b/>
          <w:color w:val="000000"/>
          <w:sz w:val="28"/>
        </w:rPr>
      </w:pPr>
    </w:p>
    <w:p w14:paraId="73C14E9D">
      <w:pPr>
        <w:snapToGrid w:val="0"/>
        <w:spacing w:line="520" w:lineRule="exact"/>
        <w:jc w:val="center"/>
        <w:rPr>
          <w:rFonts w:hint="eastAsia" w:ascii="黑体" w:hAnsi="宋体" w:eastAsia="黑体" w:cs="宋体"/>
          <w:b/>
          <w:color w:val="000000"/>
          <w:kern w:val="0"/>
          <w:sz w:val="30"/>
          <w:szCs w:val="30"/>
        </w:rPr>
      </w:pPr>
    </w:p>
    <w:p w14:paraId="5FA5D4B4">
      <w:pPr>
        <w:snapToGrid w:val="0"/>
        <w:spacing w:line="520" w:lineRule="exact"/>
        <w:jc w:val="center"/>
        <w:rPr>
          <w:rFonts w:hint="eastAsia" w:ascii="黑体" w:hAnsi="宋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color w:val="000000"/>
          <w:kern w:val="0"/>
          <w:sz w:val="30"/>
          <w:szCs w:val="30"/>
        </w:rPr>
        <w:t>中国贸促会商业行业委员会     制</w:t>
      </w:r>
    </w:p>
    <w:p w14:paraId="70D75431">
      <w:pPr>
        <w:snapToGrid w:val="0"/>
        <w:jc w:val="center"/>
        <w:rPr>
          <w:rFonts w:hint="eastAsia" w:ascii="黑体" w:hAnsi="宋体" w:eastAsia="黑体" w:cs="宋体"/>
          <w:b/>
          <w:color w:val="000000"/>
          <w:kern w:val="0"/>
          <w:sz w:val="30"/>
          <w:szCs w:val="30"/>
        </w:rPr>
      </w:pPr>
    </w:p>
    <w:p w14:paraId="5ABCAAF0">
      <w:pPr>
        <w:snapToGrid w:val="0"/>
        <w:jc w:val="center"/>
        <w:rPr>
          <w:rFonts w:eastAsia="黑体"/>
          <w:color w:val="000000"/>
          <w:sz w:val="28"/>
        </w:rPr>
      </w:pPr>
      <w:r>
        <w:rPr>
          <w:rFonts w:hint="eastAsia" w:eastAsia="黑体"/>
          <w:color w:val="000000"/>
          <w:sz w:val="28"/>
        </w:rPr>
        <w:t>二〇二五年   月</w:t>
      </w:r>
    </w:p>
    <w:p w14:paraId="7B8ED79A">
      <w:pPr>
        <w:snapToGrid w:val="0"/>
        <w:jc w:val="center"/>
        <w:rPr>
          <w:rFonts w:eastAsia="黑体"/>
          <w:color w:val="000000"/>
          <w:sz w:val="28"/>
        </w:rPr>
      </w:pPr>
    </w:p>
    <w:p w14:paraId="1D4836CE">
      <w:pPr>
        <w:snapToGrid w:val="0"/>
        <w:rPr>
          <w:rFonts w:ascii="仿宋_GB2312" w:eastAsia="仿宋_GB2312"/>
          <w:sz w:val="32"/>
          <w:szCs w:val="32"/>
        </w:rPr>
      </w:pPr>
    </w:p>
    <w:p w14:paraId="33CB0DC2">
      <w:pPr>
        <w:snapToGrid w:val="0"/>
        <w:rPr>
          <w:rFonts w:hint="eastAsia" w:eastAsia="黑体"/>
          <w:color w:val="000000"/>
          <w:sz w:val="28"/>
        </w:rPr>
      </w:pPr>
      <w:r>
        <w:rPr>
          <w:rFonts w:hint="eastAsia" w:ascii="仿宋_GB2312" w:eastAsia="仿宋_GB2312"/>
          <w:sz w:val="32"/>
          <w:szCs w:val="32"/>
        </w:rPr>
        <w:t>作品填报内容及要求(参照第十七届全国商科教育实践教学大赛细则及评分标准):</w:t>
      </w:r>
    </w:p>
    <w:p w14:paraId="779B8F05">
      <w:pPr>
        <w:snapToGrid w:val="0"/>
        <w:jc w:val="center"/>
        <w:rPr>
          <w:rFonts w:eastAsia="黑体"/>
          <w:color w:val="000000"/>
          <w:sz w:val="28"/>
        </w:rPr>
      </w:pPr>
    </w:p>
    <w:p w14:paraId="68D02030">
      <w:pPr>
        <w:snapToGrid w:val="0"/>
        <w:jc w:val="center"/>
        <w:rPr>
          <w:rFonts w:eastAsia="黑体"/>
          <w:color w:val="000000"/>
          <w:sz w:val="28"/>
        </w:rPr>
      </w:pPr>
    </w:p>
    <w:p w14:paraId="43997473">
      <w:pPr>
        <w:snapToGrid w:val="0"/>
        <w:jc w:val="center"/>
        <w:rPr>
          <w:rFonts w:eastAsia="黑体"/>
          <w:color w:val="000000"/>
          <w:sz w:val="28"/>
        </w:rPr>
      </w:pPr>
    </w:p>
    <w:p w14:paraId="553F205B">
      <w:pPr>
        <w:snapToGrid w:val="0"/>
        <w:jc w:val="center"/>
        <w:rPr>
          <w:rFonts w:eastAsia="黑体"/>
          <w:color w:val="000000"/>
          <w:sz w:val="28"/>
        </w:rPr>
      </w:pPr>
    </w:p>
    <w:p w14:paraId="4C85E84B">
      <w:pPr>
        <w:snapToGrid w:val="0"/>
        <w:jc w:val="center"/>
        <w:rPr>
          <w:rFonts w:hint="eastAsia" w:eastAsia="黑体"/>
          <w:color w:val="000000"/>
          <w:sz w:val="28"/>
        </w:rPr>
      </w:pPr>
    </w:p>
    <w:p w14:paraId="33537BB8">
      <w:r>
        <w:rPr>
          <w:rFonts w:hint="eastAsia"/>
        </w:rPr>
        <w:br w:type="page"/>
      </w:r>
    </w:p>
    <w:p w14:paraId="21D98F2C">
      <w:pPr>
        <w:widowControl/>
        <w:spacing w:line="560" w:lineRule="exact"/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  <w:bookmarkStart w:id="1" w:name="OLE_LINK7"/>
      <w:r>
        <w:rPr>
          <w:rFonts w:hint="eastAsia" w:ascii="方正小标宋简体" w:hAnsi="黑体" w:eastAsia="方正小标宋简体" w:cs="黑体"/>
          <w:kern w:val="0"/>
          <w:sz w:val="36"/>
          <w:szCs w:val="36"/>
        </w:rPr>
        <w:t>第十七届全国商科教育实践教学大赛</w:t>
      </w:r>
    </w:p>
    <w:p w14:paraId="3440E359">
      <w:pPr>
        <w:spacing w:line="500" w:lineRule="exact"/>
        <w:ind w:firstLine="720" w:firstLineChars="200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细则及评分标准</w:t>
      </w:r>
    </w:p>
    <w:bookmarkEnd w:id="1"/>
    <w:p w14:paraId="1DDC273A">
      <w:pPr>
        <w:spacing w:line="500" w:lineRule="exact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</w:p>
    <w:p w14:paraId="19AFE51D">
      <w:pPr>
        <w:widowControl/>
        <w:spacing w:before="100" w:beforeAutospacing="1" w:after="100" w:afterAutospacing="1" w:line="560" w:lineRule="exact"/>
        <w:contextualSpacing/>
        <w:rPr>
          <w:rFonts w:hint="eastAsia" w:ascii="仿宋_GB2312" w:hAnsi="微软雅黑" w:eastAsia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各参赛院校、各位老师：</w:t>
      </w:r>
    </w:p>
    <w:p w14:paraId="1BAB678A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为保障竞赛公平、公正，便于大家对参赛要求有清晰的了解，特制定本次活动的竞赛规则和评分标准，供大家参考。</w:t>
      </w:r>
    </w:p>
    <w:p w14:paraId="2988448C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一、申报要求：</w:t>
      </w:r>
    </w:p>
    <w:p w14:paraId="5403C03F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申报人可以个人或团体形式进行申报，团队不超5人（含项目负责人）。原则上，</w:t>
      </w:r>
      <w:bookmarkStart w:id="2" w:name="OLE_LINK4"/>
      <w:r>
        <w:rPr>
          <w:rFonts w:hint="eastAsia" w:ascii="仿宋_GB2312" w:hAnsi="Times New Roman" w:eastAsia="仿宋_GB2312" w:cs="Times New Roman"/>
          <w:sz w:val="32"/>
          <w:szCs w:val="32"/>
        </w:rPr>
        <w:t>每位申报人或团队申报</w:t>
      </w:r>
      <w:bookmarkEnd w:id="2"/>
      <w:r>
        <w:rPr>
          <w:rFonts w:hint="eastAsia" w:ascii="仿宋_GB2312" w:hAnsi="Times New Roman" w:eastAsia="仿宋_GB2312" w:cs="Times New Roman"/>
          <w:sz w:val="32"/>
          <w:szCs w:val="32"/>
        </w:rPr>
        <w:t>赛项，每个子项目只能填报1件作品，本赛项各子项目每位申报人或团队填报最多不超过3件作品。</w:t>
      </w:r>
    </w:p>
    <w:p w14:paraId="50AB5E3D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二、格式要求:</w:t>
      </w:r>
    </w:p>
    <w:p w14:paraId="5EA9BC06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实践教学方案设计报告包括摘要、正文，字数不低于4000字；正文一级标题用3号黑体；二级标题使用3号楷体或楷体_GB2312加粗；三级标题用3号仿宋_GB2312加粗；</w:t>
      </w:r>
    </w:p>
    <w:p w14:paraId="032240B0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正文内容用3号仿宋_GB2312，行间距28磅。</w:t>
      </w:r>
    </w:p>
    <w:p w14:paraId="12F0FA88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三、相关证明材料：</w:t>
      </w:r>
    </w:p>
    <w:p w14:paraId="0F761317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1.代表性教学创新成果信息（不超过5项）</w:t>
      </w:r>
    </w:p>
    <w:tbl>
      <w:tblPr>
        <w:tblStyle w:val="5"/>
        <w:tblW w:w="5000" w:type="pct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144"/>
        <w:gridCol w:w="2526"/>
        <w:gridCol w:w="1554"/>
        <w:gridCol w:w="1437"/>
        <w:gridCol w:w="1806"/>
      </w:tblGrid>
      <w:tr w14:paraId="43A3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41" w:type="pct"/>
            <w:vAlign w:val="center"/>
          </w:tcPr>
          <w:p w14:paraId="17D8C18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序号</w:t>
            </w:r>
          </w:p>
        </w:tc>
        <w:tc>
          <w:tcPr>
            <w:tcW w:w="616" w:type="pct"/>
            <w:vAlign w:val="center"/>
          </w:tcPr>
          <w:p w14:paraId="0A74C28E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获奖</w:t>
            </w:r>
          </w:p>
          <w:p w14:paraId="71843CF7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年月</w:t>
            </w:r>
          </w:p>
        </w:tc>
        <w:tc>
          <w:tcPr>
            <w:tcW w:w="1360" w:type="pct"/>
            <w:vAlign w:val="center"/>
          </w:tcPr>
          <w:p w14:paraId="40B35EF7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成果名称(内容)</w:t>
            </w:r>
          </w:p>
        </w:tc>
        <w:tc>
          <w:tcPr>
            <w:tcW w:w="837" w:type="pct"/>
            <w:vAlign w:val="center"/>
          </w:tcPr>
          <w:p w14:paraId="1196551C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奖项类别</w:t>
            </w:r>
          </w:p>
          <w:p w14:paraId="7206444E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与等级</w:t>
            </w:r>
          </w:p>
        </w:tc>
        <w:tc>
          <w:tcPr>
            <w:tcW w:w="774" w:type="pct"/>
            <w:vAlign w:val="center"/>
          </w:tcPr>
          <w:p w14:paraId="4CC0A75B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颁奖单位</w:t>
            </w:r>
          </w:p>
        </w:tc>
        <w:tc>
          <w:tcPr>
            <w:tcW w:w="972" w:type="pct"/>
            <w:vAlign w:val="center"/>
          </w:tcPr>
          <w:p w14:paraId="2BC44FC5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参赛教师排名</w:t>
            </w:r>
          </w:p>
        </w:tc>
      </w:tr>
      <w:tr w14:paraId="51386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</w:tcPr>
          <w:p w14:paraId="7E51E509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1</w:t>
            </w:r>
          </w:p>
        </w:tc>
        <w:tc>
          <w:tcPr>
            <w:tcW w:w="616" w:type="pct"/>
          </w:tcPr>
          <w:p w14:paraId="3685E876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</w:tcPr>
          <w:p w14:paraId="77649B8E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</w:tcPr>
          <w:p w14:paraId="67F4D1E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</w:tcPr>
          <w:p w14:paraId="27ED5FC4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</w:tcPr>
          <w:p w14:paraId="4836DDDF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2D0E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</w:tcPr>
          <w:p w14:paraId="06475DD0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</w:t>
            </w:r>
          </w:p>
        </w:tc>
        <w:tc>
          <w:tcPr>
            <w:tcW w:w="616" w:type="pct"/>
          </w:tcPr>
          <w:p w14:paraId="4A125C1E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</w:tcPr>
          <w:p w14:paraId="22D75DB2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</w:tcPr>
          <w:p w14:paraId="66F28104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</w:tcPr>
          <w:p w14:paraId="612F701C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</w:tcPr>
          <w:p w14:paraId="12297B28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3079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</w:tcPr>
          <w:p w14:paraId="0EC3841D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3</w:t>
            </w:r>
          </w:p>
        </w:tc>
        <w:tc>
          <w:tcPr>
            <w:tcW w:w="616" w:type="pct"/>
          </w:tcPr>
          <w:p w14:paraId="706E4B45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</w:tcPr>
          <w:p w14:paraId="26247AFE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</w:tcPr>
          <w:p w14:paraId="10B7EF0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</w:tcPr>
          <w:p w14:paraId="1B06534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</w:tcPr>
          <w:p w14:paraId="6EB0A56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11ED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</w:tcPr>
          <w:p w14:paraId="1E027589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  <w:tc>
          <w:tcPr>
            <w:tcW w:w="616" w:type="pct"/>
          </w:tcPr>
          <w:p w14:paraId="6D117688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</w:tcPr>
          <w:p w14:paraId="57C1CEC2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</w:tcPr>
          <w:p w14:paraId="201D71F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</w:tcPr>
          <w:p w14:paraId="1393AAEE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</w:tcPr>
          <w:p w14:paraId="12652A55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465B9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41" w:type="pct"/>
          </w:tcPr>
          <w:p w14:paraId="4E89463D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5</w:t>
            </w:r>
          </w:p>
        </w:tc>
        <w:tc>
          <w:tcPr>
            <w:tcW w:w="616" w:type="pct"/>
          </w:tcPr>
          <w:p w14:paraId="2811801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</w:tcPr>
          <w:p w14:paraId="529A7B45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</w:tcPr>
          <w:p w14:paraId="1A2CF89B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</w:tcPr>
          <w:p w14:paraId="169359CC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</w:tcPr>
          <w:p w14:paraId="347FC27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6B6C2C1C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  <w:lang w:eastAsia="zh-TW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2.人才培养成果证明材料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TW"/>
        </w:rPr>
        <w:t>（不超过</w:t>
      </w:r>
      <w:r>
        <w:rPr>
          <w:rFonts w:hint="eastAsia"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TW"/>
        </w:rPr>
        <w:t>项）</w:t>
      </w:r>
    </w:p>
    <w:p w14:paraId="3116FF3D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四、作品提交：</w:t>
      </w:r>
    </w:p>
    <w:p w14:paraId="2CE37FC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1.提交材料：报名登记表、申报书，如一人申报多项可以在同一报名登记表中填写报名信息。</w:t>
      </w:r>
    </w:p>
    <w:p w14:paraId="7B23A6E9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2.报名登记表及申报书命名：学校名称+参赛组别+项目负责人+作品名称，压缩后发送至组委会邮箱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sdhuizhan10@163.com</w:t>
      </w:r>
      <w:bookmarkStart w:id="4" w:name="_GoBack"/>
      <w:bookmarkEnd w:id="4"/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C476572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五、子项目相关要求：</w:t>
      </w:r>
    </w:p>
    <w:p w14:paraId="6982E585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1.专业建设整体实践教学方案设计</w:t>
      </w:r>
    </w:p>
    <w:p w14:paraId="7D27FC90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bookmarkStart w:id="3" w:name="OLE_LINK5"/>
      <w:r>
        <w:rPr>
          <w:rFonts w:hint="eastAsia" w:ascii="仿宋_GB2312" w:hAnsi="Times New Roman" w:eastAsia="仿宋_GB2312" w:cs="Times New Roman"/>
          <w:sz w:val="32"/>
          <w:szCs w:val="32"/>
        </w:rPr>
        <w:t>（一）</w:t>
      </w:r>
      <w:bookmarkEnd w:id="3"/>
      <w:r>
        <w:rPr>
          <w:rFonts w:hint="eastAsia" w:ascii="仿宋_GB2312" w:hAnsi="Times New Roman" w:eastAsia="仿宋_GB2312" w:cs="Times New Roman"/>
          <w:sz w:val="32"/>
          <w:szCs w:val="32"/>
        </w:rPr>
        <w:t>专业基本情况；</w:t>
      </w:r>
    </w:p>
    <w:p w14:paraId="4621990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（二）专业主要理论课程；</w:t>
      </w:r>
    </w:p>
    <w:p w14:paraId="61D9FE5E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（三）专业培养目标；</w:t>
      </w:r>
    </w:p>
    <w:p w14:paraId="541FCD2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（四）专业实践教学体系；</w:t>
      </w:r>
    </w:p>
    <w:p w14:paraId="181224AC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（五）专业优势；</w:t>
      </w:r>
    </w:p>
    <w:p w14:paraId="112C79FB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（六）专业建设预期成效。</w:t>
      </w:r>
    </w:p>
    <w:p w14:paraId="78A29DF2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2.课程建设实践教学方案设计</w:t>
      </w:r>
    </w:p>
    <w:p w14:paraId="7AA2B62F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（一）课程名称；</w:t>
      </w:r>
    </w:p>
    <w:p w14:paraId="75FFAB5D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（二）学分/学时；</w:t>
      </w:r>
    </w:p>
    <w:p w14:paraId="1E06A73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（三）课程性质；</w:t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</w:p>
    <w:p w14:paraId="6C5DF5E2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（四）授课对象；</w:t>
      </w:r>
    </w:p>
    <w:p w14:paraId="2A304F40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（五）预修要求。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</w:p>
    <w:p w14:paraId="295CF37C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注：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教学大纲内容包括课程介绍、教学目标、教学内容、考核方式、教学安排、课程评价、参考教材及相关资料等。</w:t>
      </w:r>
    </w:p>
    <w:p w14:paraId="7E00DE27">
      <w:pPr>
        <w:pStyle w:val="2"/>
        <w:spacing w:before="100" w:beforeAutospacing="1" w:after="100" w:afterAutospacing="1" w:line="560" w:lineRule="exact"/>
        <w:ind w:firstLine="0" w:firstLineChars="0"/>
        <w:contextualSpacing/>
        <w:rPr>
          <w:rFonts w:ascii="仿宋_GB2312" w:eastAsia="仿宋_GB2312"/>
          <w:sz w:val="32"/>
          <w:szCs w:val="32"/>
        </w:rPr>
      </w:pPr>
    </w:p>
    <w:p w14:paraId="49F0231A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3.配套实践教学方案设计</w:t>
      </w:r>
    </w:p>
    <w:p w14:paraId="76E59D9C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包括但不限于：校企共建、产教融合、产业学院、校内实验实训基地、校外实习实训、校内大学生创新创业等。</w:t>
      </w:r>
    </w:p>
    <w:p w14:paraId="0F628921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4.多媒体教学课件作品</w:t>
      </w:r>
    </w:p>
    <w:p w14:paraId="3A1CC1C0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多媒体课件可以为1学时课程也可以为一门课程。参赛课件不限制作软件和制作工具，不限风格、形式。参赛的课件应为非正式出版物，课件教学内容50%以上为作者原创，课件引用的图文资料应注明来源。</w:t>
      </w:r>
    </w:p>
    <w:p w14:paraId="4A9903C4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5.微课教学作品</w:t>
      </w:r>
    </w:p>
    <w:p w14:paraId="1D716C80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（一）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微课教学视频录制成时长6分钟≤微课≤10分钟。是单一有声视频文件，要求教学目标清晰、主题突出、内容完整、声画质量好。</w:t>
      </w:r>
    </w:p>
    <w:p w14:paraId="10EA775C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（二）视频录制形式不限（不得使用摇臂、无人机等脱离课堂教学实际、片面追求拍摄效果的录制手段，拍摄机位不超过2个，不应影响正常教学秩序）。</w:t>
      </w:r>
    </w:p>
    <w:p w14:paraId="0DF1BE1F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（三）主讲教师必须出镜，如有学生的镜头，须告知学生可能出现在视频中，此视频会公开。</w:t>
      </w:r>
    </w:p>
    <w:p w14:paraId="0E17597F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pacing w:val="-6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</w:t>
      </w:r>
      <w:r>
        <w:rPr>
          <w:rFonts w:hint="eastAsia" w:ascii="仿宋_GB2312" w:hAnsi="Times New Roman" w:eastAsia="仿宋_GB2312" w:cs="Times New Roman"/>
          <w:spacing w:val="-6"/>
          <w:sz w:val="32"/>
          <w:szCs w:val="32"/>
        </w:rPr>
        <w:t>能够体现课程教学创新，不允许配音，不得出现画中画。</w:t>
      </w:r>
    </w:p>
    <w:p w14:paraId="30D11363">
      <w:pPr>
        <w:spacing w:before="100" w:beforeAutospacing="1" w:after="100" w:afterAutospacing="1" w:line="560" w:lineRule="exact"/>
        <w:ind w:firstLine="616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-6"/>
          <w:sz w:val="32"/>
          <w:szCs w:val="32"/>
        </w:rPr>
        <w:t>（五）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视频文件采用MP4格式，分辨率720P或1080P，每个视频文件大小不超过300MB，图像清晰稳定，声音清楚。</w:t>
      </w:r>
    </w:p>
    <w:p w14:paraId="0A499162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6.教学软件作品</w:t>
      </w:r>
    </w:p>
    <w:p w14:paraId="66846EB3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（一）软著知识产权（如有，提供扫描件）</w:t>
      </w:r>
    </w:p>
    <w:p w14:paraId="1EBDFFEB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（二）软件使用或操作方法（含：实验原理）：有效网址链接；网络、设备要求、操作系统要求等；</w:t>
      </w:r>
    </w:p>
    <w:p w14:paraId="23AC4D50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（三）系统架构简要说明：开发技术，如：vr、ar、3d；开发工具，Adobe flash、unity3d、Maya等；运行环境。</w:t>
      </w:r>
    </w:p>
    <w:p w14:paraId="49FC7AF6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六、子项目评分标准</w:t>
      </w:r>
    </w:p>
    <w:p w14:paraId="10F1901C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1.专业建设整体实践教学方案设计作品评审标准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385"/>
        <w:gridCol w:w="6212"/>
      </w:tblGrid>
      <w:tr w14:paraId="3D2E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241C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9E0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53C8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6E3C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702F00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方案目标</w:t>
            </w:r>
          </w:p>
          <w:p w14:paraId="1EC7DE88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BE7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指导思想</w:t>
            </w:r>
          </w:p>
          <w:p w14:paraId="3B883B9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1FD3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指导思想明确，按照人才培养方案的总体要求，以社会需求为导向，以培养学生的创新精神为主线，整合各个实践教学环节，积极构建分类指导、层次分明、相对独立的开放实践教学体系。</w:t>
            </w:r>
          </w:p>
        </w:tc>
      </w:tr>
      <w:tr w14:paraId="5D93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C304D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DDBF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建设定位</w:t>
            </w:r>
          </w:p>
          <w:p w14:paraId="560C521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3C5D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目标定位准确，与专业人才培养方案完全相符合，与学校办学定位吻合，可操作性强，能满足专业发展和社会发展的需要。</w:t>
            </w:r>
          </w:p>
        </w:tc>
      </w:tr>
      <w:tr w14:paraId="6A90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8D2E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EB6A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目标思路</w:t>
            </w:r>
          </w:p>
          <w:p w14:paraId="2ED16E3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5772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实践教学体系思路清晰、规划合理、方案具体、突出应用，完全适用于学生获取实践经验、形成应用能力。</w:t>
            </w:r>
          </w:p>
        </w:tc>
      </w:tr>
      <w:tr w14:paraId="44BE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4A6E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32F3032B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内容体系</w:t>
            </w:r>
          </w:p>
          <w:p w14:paraId="2FCD650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（2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D62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内容选择</w:t>
            </w:r>
          </w:p>
          <w:p w14:paraId="692C09C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0FEDF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实践教学内容完善，更新及时，体系设计科学合理，有培养学生创新意识、创新能力和实践能力的培养方案和措施。</w:t>
            </w:r>
          </w:p>
        </w:tc>
      </w:tr>
      <w:tr w14:paraId="0FB56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E10F4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D5B39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方法与手段</w:t>
            </w:r>
          </w:p>
          <w:p w14:paraId="46E179D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C08A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全面改进实践教学方法，建立以学生为中心的实践教学模式，形成以自主式、合作式、研究式为主的学习方式，</w:t>
            </w:r>
            <w:r>
              <w:rPr>
                <w:rFonts w:hint="eastAsia" w:ascii="方正仿宋_GBK" w:hAnsi="黑体" w:eastAsia="方正仿宋_GBK"/>
                <w:kern w:val="0"/>
              </w:rPr>
              <w:t>充分利用现代实践教学手段，引入云班课、雨课堂、学习通等现代技术，融合多种方式辅助实践教学。</w:t>
            </w:r>
          </w:p>
        </w:tc>
      </w:tr>
      <w:tr w14:paraId="103B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82E5E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7A2F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实践考核</w:t>
            </w:r>
          </w:p>
          <w:p w14:paraId="63A4B1C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1DE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设计多元实践考核方法，统筹考核实践过程与实践结果，激发学生实践兴趣，提高实践能力。</w:t>
            </w:r>
          </w:p>
        </w:tc>
      </w:tr>
      <w:tr w14:paraId="50AA7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9F67D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36F1F7F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条件体系</w:t>
            </w:r>
          </w:p>
          <w:p w14:paraId="7BC2C7C5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6D93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师资队伍</w:t>
            </w:r>
          </w:p>
          <w:p w14:paraId="3C78B8A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FA644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重视实践教学队伍建设，规划科学，能引导和激励高水平教师积极投入实践教学；实践教学队伍培养培训制度健全落实，富有成效。</w:t>
            </w:r>
          </w:p>
        </w:tc>
      </w:tr>
      <w:tr w14:paraId="6BBF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97D4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77FC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实践平台</w:t>
            </w:r>
          </w:p>
          <w:p w14:paraId="54BCF81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65030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网络化实践教学和实践教学管理信息平台完善，具有丰富的网络实践教学资源，实现网上辅助教学和网络化、智能化管理。</w:t>
            </w:r>
          </w:p>
        </w:tc>
      </w:tr>
      <w:tr w14:paraId="6B9E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FB16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7A6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实践基地</w:t>
            </w:r>
          </w:p>
          <w:p w14:paraId="6424E3C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2615D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校内外实践教学基地完善，设施能满足因材施教的实践教学要求；有明确的、切实可行的建设规划，基地管理规范。</w:t>
            </w:r>
          </w:p>
        </w:tc>
      </w:tr>
      <w:tr w14:paraId="76B7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F9351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55134EFC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保障体系</w:t>
            </w:r>
          </w:p>
          <w:p w14:paraId="60C9FB1A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3015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组织保障</w:t>
            </w:r>
          </w:p>
          <w:p w14:paraId="5146575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1996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院（系）部重视实践教学工作，组建实践教学工作领导小组，检查和督导实践教学工作，设计了形式多样、富有成效的实践教学活动。</w:t>
            </w:r>
          </w:p>
        </w:tc>
      </w:tr>
      <w:tr w14:paraId="42BF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DE704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48CE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制度保障</w:t>
            </w:r>
          </w:p>
          <w:p w14:paraId="5C6E248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D1CA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有关实践教学管理文件齐全，制定了符合人才培养的专业实践教学计划、教学标准、教学任务书、考核办法、实践教学总结等。</w:t>
            </w:r>
          </w:p>
        </w:tc>
      </w:tr>
      <w:tr w14:paraId="3542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0EA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7BB9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运行保障</w:t>
            </w:r>
          </w:p>
          <w:p w14:paraId="7935508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FF4E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实践教学的内容严格按培养方案、实践教学标准和教学任务书进行；</w:t>
            </w:r>
            <w:r>
              <w:rPr>
                <w:rFonts w:hint="eastAsia" w:ascii="方正仿宋_GBK" w:hAnsi="黑体" w:eastAsia="方正仿宋_GBK"/>
                <w:kern w:val="0"/>
              </w:rPr>
              <w:t>有长期稳定的实践、实训、实习基地，实习条件能满足实习要求，时间有保证，措施完善。</w:t>
            </w:r>
          </w:p>
        </w:tc>
      </w:tr>
      <w:tr w14:paraId="3743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F07CA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1DEBA0C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预期成效</w:t>
            </w:r>
          </w:p>
          <w:p w14:paraId="738411BD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96DE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目标达成</w:t>
            </w:r>
          </w:p>
          <w:p w14:paraId="7AE9321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2B48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ascii="方正仿宋_GBK" w:hAnsi="黑体" w:eastAsia="方正仿宋_GBK"/>
                <w:kern w:val="0"/>
              </w:rPr>
              <w:t>覆盖专业所有职业岗位技能训练及应用能力培养要求</w:t>
            </w:r>
            <w:r>
              <w:rPr>
                <w:rFonts w:hint="eastAsia" w:ascii="方正仿宋_GBK" w:hAnsi="黑体" w:eastAsia="方正仿宋_GBK"/>
                <w:kern w:val="0"/>
              </w:rPr>
              <w:t>，</w:t>
            </w:r>
            <w:r>
              <w:rPr>
                <w:rFonts w:ascii="方正仿宋_GBK" w:hAnsi="黑体" w:eastAsia="方正仿宋_GBK"/>
                <w:kern w:val="0"/>
              </w:rPr>
              <w:t>学生实践兴趣浓厚，对实践教学评价总体优</w:t>
            </w:r>
            <w:r>
              <w:rPr>
                <w:rFonts w:hint="eastAsia" w:ascii="方正仿宋_GBK" w:hAnsi="黑体" w:eastAsia="方正仿宋_GBK"/>
                <w:kern w:val="0"/>
              </w:rPr>
              <w:t>。</w:t>
            </w:r>
          </w:p>
        </w:tc>
      </w:tr>
      <w:tr w14:paraId="4420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CFC48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923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人才培养</w:t>
            </w:r>
          </w:p>
          <w:p w14:paraId="359FD31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2EE2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学生创新实践成绩突出，具有较强的动手能力和实际操作能力，</w:t>
            </w:r>
            <w:r>
              <w:rPr>
                <w:rFonts w:ascii="方正仿宋_GBK" w:hAnsi="黑体" w:eastAsia="方正仿宋_GBK"/>
                <w:kern w:val="0"/>
              </w:rPr>
              <w:t>满足上岗基本要求</w:t>
            </w:r>
            <w:r>
              <w:rPr>
                <w:rFonts w:hint="eastAsia" w:ascii="方正仿宋_GBK" w:hAnsi="黑体" w:eastAsia="方正仿宋_GBK"/>
                <w:kern w:val="0"/>
              </w:rPr>
              <w:t>。</w:t>
            </w:r>
          </w:p>
        </w:tc>
      </w:tr>
      <w:tr w14:paraId="0C2A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2AF9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7385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示范辐射</w:t>
            </w:r>
          </w:p>
          <w:p w14:paraId="2E58CDC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A137F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专业实践教学预期成果示范辐射作用成效显著，在省内或区域内有较大影响。</w:t>
            </w:r>
          </w:p>
        </w:tc>
      </w:tr>
      <w:tr w14:paraId="4EC0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2E35DE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其他</w:t>
            </w:r>
          </w:p>
          <w:p w14:paraId="50D560C3">
            <w:pPr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DEDE3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优势与特色</w:t>
            </w:r>
          </w:p>
          <w:p w14:paraId="56CBD72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147D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在长期办学过程中积淀形成的本专业特有的，优于其他学校同类专业的优势与特色，专业达成度高，得到社会认可。</w:t>
            </w:r>
          </w:p>
        </w:tc>
      </w:tr>
      <w:tr w14:paraId="45B7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59923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0AE1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方案创新</w:t>
            </w:r>
          </w:p>
          <w:p w14:paraId="1373115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D8C9A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方案在设计、论证、制定和实施等方面有相应的创新和发展。</w:t>
            </w:r>
          </w:p>
        </w:tc>
      </w:tr>
      <w:tr w14:paraId="2060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C053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BDD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文本规范</w:t>
            </w:r>
          </w:p>
          <w:p w14:paraId="794E9C3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AF68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文本编排工整清楚、格式规范（包括封面、目录、正文、附件)、材料齐全。</w:t>
            </w:r>
          </w:p>
        </w:tc>
      </w:tr>
    </w:tbl>
    <w:p w14:paraId="0F95EEEC">
      <w:pPr>
        <w:rPr>
          <w:rFonts w:hint="eastAsia" w:ascii="黑体" w:hAnsi="黑体" w:eastAsia="黑体" w:cs="宋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503B6386">
      <w:pPr>
        <w:ind w:firstLine="640" w:firstLineChars="200"/>
        <w:jc w:val="left"/>
        <w:outlineLvl w:val="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2.课程建设实践教学方案设计作品评审标准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12"/>
      </w:tblGrid>
      <w:tr w14:paraId="45AE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5DA5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A44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519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6BAF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5FD94C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方案目标</w:t>
            </w:r>
          </w:p>
          <w:p w14:paraId="6F202C12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7AB3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指导思想</w:t>
            </w:r>
          </w:p>
          <w:p w14:paraId="188066C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39532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符合国家教育方针、政策，遵循教育教学规律，落实立德树人根本任务，体现“以学生为中心”的教育理念，与当前课堂教学改革方向一致。</w:t>
            </w:r>
          </w:p>
        </w:tc>
      </w:tr>
      <w:tr w14:paraId="1F8F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160DF7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FA4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建设定位</w:t>
            </w:r>
          </w:p>
          <w:p w14:paraId="48B4318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D659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课程实践教学方案建设目标定位准确，与专业人才培养方案完全相符合，与学校办学定位吻合，可操作性强，能满足专业发展和社会发展的需要。</w:t>
            </w:r>
          </w:p>
        </w:tc>
      </w:tr>
      <w:tr w14:paraId="6ED6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EED1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AF97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目标思路</w:t>
            </w:r>
          </w:p>
          <w:p w14:paraId="4851A0E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80C0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实践教学方案思路清晰、规划合理、方案具体、突出应用，完全适用于学生获取实践经验、形成应用能力。</w:t>
            </w:r>
          </w:p>
        </w:tc>
      </w:tr>
      <w:tr w14:paraId="735A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8F1D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方案内容</w:t>
            </w:r>
          </w:p>
          <w:p w14:paraId="2E12741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40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C459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实践教学内容</w:t>
            </w:r>
          </w:p>
          <w:p w14:paraId="2D05696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A325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内容科学严谨，能围绕某个知识点、教学环节等有效开展，注重提升课程的高阶性、突出课程的创新性、增加课程的挑战度，契合学生解决复杂问题等综合能力养成要求；有机融入双创与课程思政，内容新颖，课程与相关课程的关系处理得当。</w:t>
            </w:r>
          </w:p>
        </w:tc>
      </w:tr>
      <w:tr w14:paraId="0EF7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51548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5D5AE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实践教学方法与手段</w:t>
            </w:r>
          </w:p>
          <w:p w14:paraId="648344F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A4A0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实践教学方法与手段思路清晰，方案具体，形式多样，适用性强，效果好。</w:t>
            </w:r>
          </w:p>
        </w:tc>
      </w:tr>
      <w:tr w14:paraId="3EE2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5D015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876A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实践教学组织</w:t>
            </w:r>
          </w:p>
          <w:p w14:paraId="79BD235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264D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实践教学过程安排合理，方法运用灵活，能有效启发学生思维、调动学习积极性，学生参与度高。</w:t>
            </w:r>
          </w:p>
        </w:tc>
      </w:tr>
      <w:tr w14:paraId="50A1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6351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E838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实践教学考核</w:t>
            </w:r>
          </w:p>
          <w:p w14:paraId="5507936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F92D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注重过程考核，保证实践质量，坚持多维、动态、分层次实践教学考核评价，实现实践</w:t>
            </w:r>
            <w:r>
              <w:rPr>
                <w:rFonts w:ascii="方正仿宋_GBK" w:hAnsi="黑体" w:eastAsia="方正仿宋_GBK"/>
                <w:kern w:val="0"/>
              </w:rPr>
              <w:t>教学</w:t>
            </w:r>
            <w:r>
              <w:rPr>
                <w:rFonts w:hint="eastAsia" w:ascii="方正仿宋_GBK" w:hAnsi="黑体" w:eastAsia="方正仿宋_GBK"/>
                <w:kern w:val="0"/>
              </w:rPr>
              <w:t>全方位、</w:t>
            </w:r>
            <w:r>
              <w:rPr>
                <w:rFonts w:ascii="方正仿宋_GBK" w:hAnsi="黑体" w:eastAsia="方正仿宋_GBK"/>
                <w:kern w:val="0"/>
              </w:rPr>
              <w:t>全过程</w:t>
            </w:r>
            <w:r>
              <w:rPr>
                <w:rFonts w:hint="eastAsia" w:ascii="方正仿宋_GBK" w:hAnsi="黑体" w:eastAsia="方正仿宋_GBK"/>
                <w:kern w:val="0"/>
              </w:rPr>
              <w:t>的</w:t>
            </w:r>
            <w:r>
              <w:rPr>
                <w:rFonts w:ascii="方正仿宋_GBK" w:hAnsi="黑体" w:eastAsia="方正仿宋_GBK"/>
                <w:kern w:val="0"/>
              </w:rPr>
              <w:t>有效监控</w:t>
            </w:r>
            <w:r>
              <w:rPr>
                <w:rFonts w:hint="eastAsia" w:ascii="方正仿宋_GBK" w:hAnsi="黑体" w:eastAsia="方正仿宋_GBK"/>
                <w:kern w:val="0"/>
              </w:rPr>
              <w:t>。</w:t>
            </w:r>
          </w:p>
        </w:tc>
      </w:tr>
      <w:tr w14:paraId="2CEB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1E800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3D23A20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预期成效</w:t>
            </w:r>
          </w:p>
          <w:p w14:paraId="1B0CCE6D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EF2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推广应用</w:t>
            </w:r>
          </w:p>
          <w:p w14:paraId="297FB1C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A84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推广应用方案的完整程度及深入程度，包括方案推广应用的空间范围、时间范围及受益面、受益时限等方面有推广应用价值。</w:t>
            </w:r>
          </w:p>
        </w:tc>
      </w:tr>
      <w:tr w14:paraId="7D6C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6F28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9E7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应用成效</w:t>
            </w:r>
          </w:p>
          <w:p w14:paraId="4DF3A26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9714E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重视学生实践能力和创新精神的培养，以及在教育教学质量提高的成效，效果良好，成绩显著。</w:t>
            </w:r>
          </w:p>
        </w:tc>
      </w:tr>
      <w:tr w14:paraId="189A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6F935E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其他</w:t>
            </w:r>
          </w:p>
          <w:p w14:paraId="41756A7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257F5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优势与特色</w:t>
            </w:r>
          </w:p>
          <w:p w14:paraId="33752E1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0B4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在长期教学过程中积淀形成的本课程特有的，优于其他学校同类专业课程的优势与特色，专业达成度高，得到社会认可。</w:t>
            </w:r>
          </w:p>
        </w:tc>
      </w:tr>
      <w:tr w14:paraId="0AEA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B13CE8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A3F1D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方案创新</w:t>
            </w:r>
          </w:p>
          <w:p w14:paraId="2DD4032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A54F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方案在设计、论证、制定和实施等方面有相应的创新和发展。</w:t>
            </w:r>
          </w:p>
        </w:tc>
      </w:tr>
      <w:tr w14:paraId="5F10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4853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6F36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文本规范</w:t>
            </w:r>
          </w:p>
          <w:p w14:paraId="3894BC9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B92A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文本编排工整清楚、格式规范（包括封面、目录、正文、附件)、材料齐全。</w:t>
            </w:r>
          </w:p>
        </w:tc>
      </w:tr>
    </w:tbl>
    <w:p w14:paraId="63EFC914">
      <w:pPr>
        <w:ind w:firstLine="640" w:firstLineChars="200"/>
        <w:jc w:val="left"/>
        <w:outlineLvl w:val="0"/>
        <w:rPr>
          <w:rFonts w:hint="eastAsia" w:ascii="仿宋_GB2312" w:hAnsi="微软雅黑" w:eastAsia="仿宋_GB2312"/>
          <w:kern w:val="0"/>
          <w:sz w:val="32"/>
          <w:szCs w:val="32"/>
        </w:rPr>
      </w:pPr>
    </w:p>
    <w:p w14:paraId="42F13E1B">
      <w:pPr>
        <w:ind w:firstLine="640" w:firstLineChars="200"/>
        <w:jc w:val="left"/>
        <w:outlineLvl w:val="0"/>
        <w:rPr>
          <w:rFonts w:hint="eastAsia" w:ascii="仿宋_GB2312" w:hAnsi="微软雅黑" w:eastAsia="仿宋_GB2312"/>
          <w:kern w:val="0"/>
          <w:sz w:val="32"/>
          <w:szCs w:val="32"/>
        </w:rPr>
      </w:pPr>
    </w:p>
    <w:p w14:paraId="5A375D09">
      <w:pPr>
        <w:ind w:firstLine="640" w:firstLineChars="200"/>
        <w:jc w:val="left"/>
        <w:outlineLvl w:val="0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3.配套实践教学方案设计作品评审标准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12"/>
      </w:tblGrid>
      <w:tr w14:paraId="364AB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9037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432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BB42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192C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1BD7B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方案目标</w:t>
            </w:r>
          </w:p>
          <w:p w14:paraId="032F87C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7F61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指导思想</w:t>
            </w:r>
          </w:p>
          <w:p w14:paraId="0229B22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5013A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符合国家教育方针、政策，以服务为宗旨，以就业为导向，突出学生实践能力的培养，深化校企合作融合深度和广度，与企业互惠互利、合作共赢。</w:t>
            </w:r>
          </w:p>
        </w:tc>
      </w:tr>
      <w:tr w14:paraId="344B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CA6C5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BDF0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建设定位</w:t>
            </w:r>
          </w:p>
          <w:p w14:paraId="22983F6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511E2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配套实践教学方案建设目标定位准确，与专业人才培养方案完全相符合，与学校办学定位吻合，可操作性强，能满足专业发展和社会发展的需要。</w:t>
            </w:r>
          </w:p>
        </w:tc>
      </w:tr>
      <w:tr w14:paraId="09CB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6D2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2618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目标思路</w:t>
            </w:r>
          </w:p>
          <w:p w14:paraId="2733DCB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6670B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配套实践教学方案思路清晰、规划合理、方案具体、突出应用，完全适用于学生获取实践经验、形成应用能力。</w:t>
            </w:r>
          </w:p>
        </w:tc>
      </w:tr>
      <w:tr w14:paraId="390F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767E3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方案内容</w:t>
            </w:r>
          </w:p>
          <w:p w14:paraId="0D99511A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30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8F98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拟解决的主要问题</w:t>
            </w:r>
          </w:p>
          <w:p w14:paraId="321AB5B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B2F36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 xml:space="preserve">解决的实践教学问题明确突出，具有一定的针对性和紧迫性。 </w:t>
            </w:r>
          </w:p>
        </w:tc>
      </w:tr>
      <w:tr w14:paraId="2643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9487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EA0E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解决问题的方法</w:t>
            </w:r>
          </w:p>
          <w:p w14:paraId="688082C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0975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内容丰富、形式多样（1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  <w:r>
              <w:rPr>
                <w:rFonts w:hint="eastAsia" w:ascii="方正仿宋_GBK" w:hAnsi="黑体" w:eastAsia="方正仿宋_GBK"/>
                <w:kern w:val="0"/>
              </w:rPr>
              <w:t>：校企在专业建设、课程建设、师资建设、实习教学、研究开发、就业服务等方面的具体做法，做法具有典型性、真实性、生动性，具有实用价值；</w:t>
            </w:r>
          </w:p>
          <w:p w14:paraId="65A2813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问题解决切实可行（1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  <w:r>
              <w:rPr>
                <w:rFonts w:hint="eastAsia" w:ascii="方正仿宋_GBK" w:hAnsi="黑体" w:eastAsia="方正仿宋_GBK"/>
                <w:kern w:val="0"/>
              </w:rPr>
              <w:t>：问题解决的思路清晰，解决的方法有效、可行。</w:t>
            </w:r>
          </w:p>
        </w:tc>
      </w:tr>
      <w:tr w14:paraId="7B6B5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BD5EA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方案</w:t>
            </w:r>
          </w:p>
          <w:p w14:paraId="63E3C91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预期成效</w:t>
            </w:r>
          </w:p>
          <w:p w14:paraId="34A71EB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（3</w:t>
            </w:r>
            <w:r>
              <w:rPr>
                <w:rFonts w:ascii="方正仿宋_GBK" w:hAnsi="黑体" w:eastAsia="方正仿宋_GBK" w:cs="宋体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27A1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目标达成</w:t>
            </w:r>
          </w:p>
          <w:p w14:paraId="1922D13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3DC3">
            <w:pPr>
              <w:widowControl/>
              <w:spacing w:line="300" w:lineRule="exact"/>
              <w:ind w:firstLine="25" w:firstLineChars="12"/>
              <w:jc w:val="lef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配套实践教学方案在专业建设、课程建设、教材建设、师资队伍建设、实训基地建设、科学研究等方面教学质量有明显提升。</w:t>
            </w:r>
          </w:p>
        </w:tc>
      </w:tr>
      <w:tr w14:paraId="6397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A8BCA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7DE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人才培养</w:t>
            </w:r>
          </w:p>
          <w:p w14:paraId="5E9BFC7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0AE35">
            <w:pPr>
              <w:widowControl/>
              <w:spacing w:line="300" w:lineRule="exact"/>
              <w:ind w:firstLine="25" w:firstLineChars="12"/>
              <w:jc w:val="left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配套实践教学方案在技能大赛、创新创业、就业情况等方面有明显提升，学生的学习积极性、学习效果、满意度等方面有明显提升。</w:t>
            </w:r>
          </w:p>
        </w:tc>
      </w:tr>
      <w:tr w14:paraId="1197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C958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275C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社会服务</w:t>
            </w:r>
          </w:p>
          <w:p w14:paraId="765C28A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1848F">
            <w:pPr>
              <w:widowControl/>
              <w:spacing w:line="300" w:lineRule="exact"/>
              <w:ind w:firstLine="25" w:firstLineChars="12"/>
              <w:jc w:val="left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为社会、企业提供技术、生产、培训等服务，提升学校服务社会能力等方面有明显提升。</w:t>
            </w:r>
          </w:p>
        </w:tc>
      </w:tr>
      <w:tr w14:paraId="7959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1C6C3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其他</w:t>
            </w:r>
          </w:p>
          <w:p w14:paraId="016F5A9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 w:cs="宋体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DF2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方案特色</w:t>
            </w:r>
          </w:p>
          <w:p w14:paraId="51C5864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61B2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较好地解决了传统校企合作中的短板问题。</w:t>
            </w:r>
          </w:p>
        </w:tc>
      </w:tr>
      <w:tr w14:paraId="66AB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E5491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E515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方案创新</w:t>
            </w:r>
          </w:p>
          <w:p w14:paraId="2D8B20B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986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配套实践教学方案在设计、论证、制定和实施等方面有相应的创新和发展。</w:t>
            </w:r>
          </w:p>
        </w:tc>
      </w:tr>
      <w:tr w14:paraId="6B74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1235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7D2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文本规范</w:t>
            </w:r>
          </w:p>
          <w:p w14:paraId="447D11B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EA38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文本编排工整清楚、格式规范（包括封面、目录、正文、附件)、材料齐全。</w:t>
            </w:r>
          </w:p>
        </w:tc>
      </w:tr>
    </w:tbl>
    <w:p w14:paraId="68FCFE59">
      <w:pPr>
        <w:jc w:val="center"/>
        <w:rPr>
          <w:rFonts w:hint="eastAsia" w:ascii="仿宋_GB2312" w:hAnsi="微软雅黑" w:eastAsia="仿宋_GB2312"/>
          <w:kern w:val="0"/>
          <w:sz w:val="32"/>
          <w:szCs w:val="32"/>
        </w:rPr>
      </w:pPr>
    </w:p>
    <w:p w14:paraId="64D81A7E">
      <w:pPr>
        <w:jc w:val="left"/>
        <w:outlineLvl w:val="0"/>
        <w:rPr>
          <w:rFonts w:hint="eastAsia" w:ascii="仿宋_GB2312" w:hAnsi="微软雅黑" w:eastAsia="仿宋_GB2312"/>
          <w:kern w:val="0"/>
          <w:sz w:val="32"/>
          <w:szCs w:val="32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422C3C73">
      <w:pPr>
        <w:ind w:firstLine="640" w:firstLineChars="200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4.多媒体教学课件作品评审标准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69"/>
      </w:tblGrid>
      <w:tr w14:paraId="07A5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7F0D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EC1D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E4FB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4E9E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4DA9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内容呈现</w:t>
            </w:r>
          </w:p>
          <w:p w14:paraId="5BA2EA4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2D01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科学性</w:t>
            </w:r>
          </w:p>
          <w:p w14:paraId="4AF670A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B9BA4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课件取材适宜，内容正确，具有时效性、前瞻性，体现认知规律；无科学错误、政治性错误；无错误导向。</w:t>
            </w:r>
          </w:p>
        </w:tc>
      </w:tr>
      <w:tr w14:paraId="5F9D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C03A6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873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教育性</w:t>
            </w:r>
          </w:p>
          <w:p w14:paraId="488A18B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3BB83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符合教育方针、政策，融入思政元素，发挥育人实效，符合大赛主题，紧扣教学大纲，教学环节完整。</w:t>
            </w:r>
          </w:p>
        </w:tc>
      </w:tr>
      <w:tr w14:paraId="7F89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81334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330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知识性</w:t>
            </w:r>
          </w:p>
          <w:p w14:paraId="53EB963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FD9F6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知识体系结构合理，逻辑结构清晰，层次性强，具有内聚性。</w:t>
            </w:r>
          </w:p>
        </w:tc>
      </w:tr>
      <w:tr w14:paraId="25E7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39BC4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B85F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规范性</w:t>
            </w:r>
          </w:p>
          <w:p w14:paraId="759E634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3E792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文字、符号、单位和公式符合国家标准，符合出版规范，无侵犯著作权行为；</w:t>
            </w:r>
            <w:r>
              <w:rPr>
                <w:rFonts w:hint="eastAsia" w:ascii="方正仿宋_GBK" w:hAnsi="Arial" w:eastAsia="方正仿宋_GBK" w:cs="Arial"/>
                <w:kern w:val="0"/>
              </w:rPr>
              <w:t>注明课件内容所属学科、专业、课程及适用对象等信息。</w:t>
            </w:r>
          </w:p>
        </w:tc>
      </w:tr>
      <w:tr w14:paraId="5FC9A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461E3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教学设计</w:t>
            </w:r>
          </w:p>
          <w:p w14:paraId="2E0213B3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8D3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目标设计</w:t>
            </w:r>
          </w:p>
          <w:p w14:paraId="2FC7A8D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4BBE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教学目标清晰、定位准确、表述规范，体现课堂的知识框架，易于理解。</w:t>
            </w:r>
          </w:p>
        </w:tc>
      </w:tr>
      <w:tr w14:paraId="4207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FA791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49ED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内容设计</w:t>
            </w:r>
          </w:p>
          <w:p w14:paraId="664F0B2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B277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突出知识点、重点和难点，详略得当，内容呈现顺序合理。</w:t>
            </w:r>
          </w:p>
        </w:tc>
      </w:tr>
      <w:tr w14:paraId="72EA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441C4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技术运用</w:t>
            </w:r>
          </w:p>
          <w:p w14:paraId="407BC4C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（2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A136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形式多样</w:t>
            </w:r>
          </w:p>
          <w:p w14:paraId="3A0797A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F32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对教学内容恰当选择和使用图像、音频、视频、动画等各种媒体表现形式，新技术运用有效，便于读者的学习、交互明显、信息传递能力强。</w:t>
            </w:r>
          </w:p>
        </w:tc>
      </w:tr>
      <w:tr w14:paraId="27F1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B14B5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63BC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运行状况</w:t>
            </w:r>
          </w:p>
          <w:p w14:paraId="3390C4F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233F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载入迅速、链接转换时间短、播放流畅、运行稳定、无故障卡顿，无导航、链接错误，操作方式简便、快捷，媒体播放可控。</w:t>
            </w:r>
          </w:p>
        </w:tc>
      </w:tr>
      <w:tr w14:paraId="5428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8D62B7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艺术呈现</w:t>
            </w:r>
          </w:p>
          <w:p w14:paraId="1210F561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30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2371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页面呈现</w:t>
            </w:r>
          </w:p>
          <w:p w14:paraId="7D29728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B62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整体界面美观、风格统一，版式、作品的表现方式能够恰当地表现主题内容，各页面布局合理，有较强的表现力和感染力。</w:t>
            </w:r>
          </w:p>
        </w:tc>
      </w:tr>
      <w:tr w14:paraId="4D3C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B62980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E58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图文呈现</w:t>
            </w:r>
          </w:p>
          <w:p w14:paraId="3D0D01B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81C8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文字清晰易读、字体选用恰当，图像大小适宜、色彩搭配协调，视觉效果好，符合视觉心理。</w:t>
            </w:r>
          </w:p>
        </w:tc>
      </w:tr>
      <w:tr w14:paraId="5B05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E955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4644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媒体效果</w:t>
            </w:r>
          </w:p>
          <w:p w14:paraId="4817D5A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3E8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文字、图片、音、视频、动画切合教学主题，配合适当；各种媒体制作精细，吸引力强；动画自然、逼真扣人心弦；课件节奏符合常人观看规律，能激发学习兴趣，无疲劳感或厌倦感。</w:t>
            </w:r>
          </w:p>
        </w:tc>
      </w:tr>
      <w:tr w14:paraId="041D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09CEB6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其他</w:t>
            </w:r>
          </w:p>
          <w:p w14:paraId="2C4C0FE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10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1D0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创新性</w:t>
            </w:r>
          </w:p>
          <w:p w14:paraId="0807894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A416F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课件原创成分高，作品设计有创新或创意新颖，整体效果好，有很强的吸引力。</w:t>
            </w:r>
          </w:p>
        </w:tc>
      </w:tr>
      <w:tr w14:paraId="0EF5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ABD9D1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0158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应用推广</w:t>
            </w:r>
          </w:p>
          <w:p w14:paraId="12D66D0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6E7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课件设计具有在专业或学科上推广的价值。</w:t>
            </w:r>
          </w:p>
        </w:tc>
      </w:tr>
    </w:tbl>
    <w:p w14:paraId="6DFCD3EC">
      <w:pPr>
        <w:jc w:val="left"/>
        <w:rPr>
          <w:rFonts w:hint="eastAsia" w:ascii="方正仿宋_GBK" w:hAnsi="黑体" w:eastAsia="方正仿宋_GBK" w:cs="宋体"/>
          <w:b/>
          <w:bCs/>
          <w:szCs w:val="21"/>
        </w:rPr>
      </w:pPr>
      <w:r>
        <w:rPr>
          <w:rFonts w:hint="eastAsia" w:ascii="方正仿宋_GBK" w:hAnsi="宋体" w:eastAsia="方正仿宋_GBK"/>
          <w:b/>
          <w:bCs/>
          <w:color w:val="000000"/>
          <w:szCs w:val="21"/>
        </w:rPr>
        <w:t>注：评选工作用计算机的基本软件配置为：</w:t>
      </w:r>
      <w:r>
        <w:rPr>
          <w:rFonts w:eastAsia="方正仿宋_GBK"/>
          <w:b/>
          <w:bCs/>
          <w:color w:val="000000"/>
          <w:szCs w:val="21"/>
        </w:rPr>
        <w:t>Windows10及以上 、Microsoft Office PowerPoint2016</w:t>
      </w:r>
      <w:r>
        <w:rPr>
          <w:rFonts w:hint="eastAsia" w:eastAsia="方正仿宋_GBK"/>
          <w:b/>
          <w:bCs/>
          <w:color w:val="000000"/>
          <w:szCs w:val="21"/>
        </w:rPr>
        <w:t>版及以上。</w:t>
      </w:r>
    </w:p>
    <w:p w14:paraId="0628B6A4">
      <w:pPr>
        <w:jc w:val="left"/>
        <w:rPr>
          <w:rFonts w:hint="eastAsia" w:ascii="方正仿宋_GBK" w:hAnsi="黑体" w:eastAsia="方正仿宋_GBK" w:cs="宋体"/>
          <w:b/>
          <w:bCs/>
          <w:szCs w:val="21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3A35B50E">
      <w:pPr>
        <w:ind w:firstLine="640" w:firstLineChars="200"/>
        <w:jc w:val="left"/>
        <w:outlineLvl w:val="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5.微课教学作品评审标准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385"/>
        <w:gridCol w:w="6431"/>
      </w:tblGrid>
      <w:tr w14:paraId="62F9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FAF9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FA44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DCD4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5EA6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9C2C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选题价值</w:t>
            </w:r>
          </w:p>
          <w:p w14:paraId="22D26AD8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A16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选题简明</w:t>
            </w:r>
          </w:p>
          <w:p w14:paraId="7292E54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3D45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eastAsia="方正仿宋_GBK"/>
                <w:color w:val="000000"/>
                <w:shd w:val="clear" w:color="auto" w:fill="FFFFFF"/>
              </w:rPr>
              <w:t>选取教学环节中某一知识点、专题、实验活动作为选题，类型包括但不限于：教授类、解题类、答疑类、实验类、活动类；选题尽量“小（微）而精”，具备独立性、完整性、示范性、代表性，能够有效解决教与学过程中的重点、难点问题。</w:t>
            </w:r>
          </w:p>
        </w:tc>
      </w:tr>
      <w:tr w14:paraId="7538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3975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B98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设计合理</w:t>
            </w:r>
          </w:p>
          <w:p w14:paraId="01A635A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F19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应围绕教学或学习中的常见、典型、有代表的问题或内容进行针对性设计，要能够有效解决教与学过程中的重点、难点、疑点、考点等问题。</w:t>
            </w:r>
          </w:p>
        </w:tc>
      </w:tr>
      <w:tr w14:paraId="1C96F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2CE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教学内容</w:t>
            </w:r>
          </w:p>
          <w:p w14:paraId="311B8915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30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C03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课程思政</w:t>
            </w:r>
          </w:p>
          <w:p w14:paraId="68E828A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D35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落实立德树人根本任务，挖掘课程思政元素，课程思政设计思路清晰，凸显课程育人价值，且提炼的课程思政元素要与参赛作品知识点的主题相关。</w:t>
            </w:r>
          </w:p>
        </w:tc>
      </w:tr>
      <w:tr w14:paraId="557A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708A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3126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观点正确</w:t>
            </w:r>
          </w:p>
          <w:p w14:paraId="4836EF2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D2A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教学内容严谨，没有任何政治性错误。在教学内容、政治取向等方面出现问题将取消参赛资格。</w:t>
            </w:r>
          </w:p>
        </w:tc>
      </w:tr>
      <w:tr w14:paraId="19CF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AFC5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B67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逻辑清晰</w:t>
            </w:r>
          </w:p>
          <w:p w14:paraId="054A196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F357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教学内容的组织与编排符合学生的认知逻辑规律，过程主线清晰，重点突出，逻辑性强，明了易懂。</w:t>
            </w:r>
          </w:p>
        </w:tc>
      </w:tr>
      <w:tr w14:paraId="2231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D806B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作品规范</w:t>
            </w:r>
          </w:p>
          <w:p w14:paraId="4F86918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30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A4D0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技术规范</w:t>
            </w:r>
          </w:p>
          <w:p w14:paraId="6CB9BC9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5C05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微课视频时长不低于6分钟，不超过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分钟，文件采用MP4格式，分辨率为720P或1080P，大小不超过300M；视频画质清晰、图像稳定、声音清楚（无杂音）、声音与画面同步，有字幕和重难点标注提示。</w:t>
            </w:r>
          </w:p>
        </w:tc>
      </w:tr>
      <w:tr w14:paraId="3B30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11143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7A9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材料规范</w:t>
            </w:r>
          </w:p>
          <w:p w14:paraId="0CAB9DB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（1</w:t>
            </w:r>
            <w:r>
              <w:rPr>
                <w:rFonts w:ascii="方正仿宋_GBK" w:hAnsi="黑体" w:eastAsia="方正仿宋_GBK" w:cs="宋体"/>
                <w:kern w:val="0"/>
              </w:rPr>
              <w:t>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E4B6D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提交完整的教学设计方案，包含微课视频，以及在微课录制过程中使用到的全部辅助扩展资料，包括但不限于：教学方案设计、课件（PPT）、习题、总结等。</w:t>
            </w:r>
          </w:p>
        </w:tc>
      </w:tr>
      <w:tr w14:paraId="6BD1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40DBF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28DA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结构规范</w:t>
            </w:r>
          </w:p>
          <w:p w14:paraId="43414F7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204D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Arial" w:eastAsia="方正仿宋_GBK" w:cs="Arial"/>
                <w:kern w:val="0"/>
              </w:rPr>
              <w:t>微课呈现内容完整，片头和片尾时长均不超过5秒（片头包括微课标题、作者及单位等基本信息）；应注明讲课内容所属大类专业（2位代码）、专业（4位代码）、课程名称、知识点（技能点）名称及适用对象等信息。</w:t>
            </w:r>
          </w:p>
        </w:tc>
      </w:tr>
      <w:tr w14:paraId="229D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6E470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779C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创作规范</w:t>
            </w:r>
          </w:p>
          <w:p w14:paraId="6DF7EE3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41F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Arial" w:eastAsia="方正仿宋_GBK" w:cs="Arial"/>
                <w:kern w:val="0"/>
              </w:rPr>
              <w:t>微课视频主体为原创作品，必须自行设计制作完成，讲授部分必须由参赛教师本人完成（不允许使用工具软件或其他人配音）。引用音像资料只能作为辅助（如例证、案例），不能成为微课的主体。</w:t>
            </w:r>
          </w:p>
        </w:tc>
      </w:tr>
      <w:tr w14:paraId="559E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CCA3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6349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教学规范</w:t>
            </w:r>
          </w:p>
          <w:p w14:paraId="249C367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209C9">
            <w:pPr>
              <w:widowControl/>
              <w:spacing w:line="300" w:lineRule="exact"/>
              <w:ind w:firstLine="25" w:firstLineChars="12"/>
              <w:rPr>
                <w:rFonts w:ascii="方正仿宋_GBK" w:hAnsi="Arial" w:eastAsia="方正仿宋_GBK" w:cs="Arial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教师仪表得当，教态自然，语言标准，声音洪亮，有节奏感，有感染力，能展现良好的教学风貌和个人魅力。</w:t>
            </w:r>
          </w:p>
        </w:tc>
      </w:tr>
      <w:tr w14:paraId="434C7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7E83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教学效果</w:t>
            </w:r>
          </w:p>
          <w:p w14:paraId="65F376D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25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3FF0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目标达成</w:t>
            </w:r>
          </w:p>
          <w:p w14:paraId="27FBD4B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B244E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完成预定教学目标,有效解决教学重难点，具有推广价值。</w:t>
            </w:r>
          </w:p>
        </w:tc>
      </w:tr>
      <w:tr w14:paraId="4505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8564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37A8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趣味性强</w:t>
            </w:r>
          </w:p>
          <w:p w14:paraId="19A13E0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46A7A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教学情境、教学内容、教学策略、媒体呈现生动有趣，对学生有较强的吸引力。</w:t>
            </w:r>
          </w:p>
        </w:tc>
      </w:tr>
      <w:tr w14:paraId="63A4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D442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8F9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创新性强</w:t>
            </w:r>
          </w:p>
          <w:p w14:paraId="24DD84A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5AFC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作品富有创意，特色明显，亮点突出。</w:t>
            </w:r>
          </w:p>
        </w:tc>
      </w:tr>
    </w:tbl>
    <w:p w14:paraId="1BCC9BCC">
      <w:pPr>
        <w:ind w:firstLine="6020" w:firstLineChars="2150"/>
        <w:rPr>
          <w:rFonts w:ascii="方正仿宋" w:hAnsi="黑体" w:eastAsia="方正仿宋"/>
          <w:sz w:val="28"/>
          <w:szCs w:val="28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22DB0DE5">
      <w:pPr>
        <w:ind w:firstLine="640" w:firstLineChars="200"/>
        <w:jc w:val="left"/>
        <w:outlineLvl w:val="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6.教学软件作品评审标准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69"/>
      </w:tblGrid>
      <w:tr w14:paraId="65A5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0CD7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9F8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FE1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24CB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60772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教学内容</w:t>
            </w:r>
          </w:p>
          <w:p w14:paraId="75C8459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DE8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科学性</w:t>
            </w:r>
          </w:p>
          <w:p w14:paraId="7163083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EBC4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教学内容正确，具有时效性、前瞻性，体现认知规律；无科学错误、政治性错误；无错误导向。</w:t>
            </w:r>
          </w:p>
        </w:tc>
      </w:tr>
      <w:tr w14:paraId="7056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0A831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B7A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知识性</w:t>
            </w:r>
          </w:p>
          <w:p w14:paraId="0FB9B1F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D86BB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知识体系结构合理，逻辑结构清晰，层次性强，具有内聚性。</w:t>
            </w:r>
          </w:p>
        </w:tc>
      </w:tr>
      <w:tr w14:paraId="456C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8906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079E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规范性</w:t>
            </w:r>
          </w:p>
          <w:p w14:paraId="232275A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776F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文字、符号、单位和公式符合国家标准，符合出版规范，无侵犯著作权行为</w:t>
            </w:r>
            <w:r>
              <w:rPr>
                <w:rFonts w:hint="eastAsia" w:ascii="方正仿宋_GBK" w:hAnsi="Arial" w:eastAsia="方正仿宋_GBK" w:cs="Arial"/>
                <w:kern w:val="0"/>
              </w:rPr>
              <w:t>。</w:t>
            </w:r>
          </w:p>
        </w:tc>
      </w:tr>
      <w:tr w14:paraId="4942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9682B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教学设计</w:t>
            </w:r>
          </w:p>
          <w:p w14:paraId="719E187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40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DFED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教学理念及设计</w:t>
            </w:r>
          </w:p>
          <w:p w14:paraId="6EC7A94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5AA5C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教育理念（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充分发挥教师主导、学生主体的作用，注重培养学生解决问题、创新能力；</w:t>
            </w:r>
          </w:p>
          <w:p w14:paraId="605573A5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目标与内容设计（1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教学目标清晰、定位准确、表述规范，适应于相应认知水平的学生；重点难点突出，启发引导性强，符合认知规律，有利于激发学生主动学习</w:t>
            </w:r>
          </w:p>
        </w:tc>
      </w:tr>
      <w:tr w14:paraId="3E87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72D05C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01EB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教学策略与评价</w:t>
            </w:r>
          </w:p>
          <w:p w14:paraId="2F97C67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4ED6F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教学交互（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较好的人机交互，有师生、生生的交互、讨论；</w:t>
            </w:r>
          </w:p>
          <w:p w14:paraId="0E35BC5B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活动与资源设计（1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根据学习内容设计研究性或探究性实践问题，培养学生创新精神与实践能力；有和教学内容配合的各种资料、学习辅助材料或资源链接，引用的资源形式新颖。</w:t>
            </w:r>
          </w:p>
        </w:tc>
      </w:tr>
      <w:tr w14:paraId="018D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CC168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技术性</w:t>
            </w:r>
          </w:p>
          <w:p w14:paraId="7CD4A33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（2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79A7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运行状况</w:t>
            </w: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23A3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安装、使用、卸载过程简单；在通用浏览器下运行可靠，没有“死机”现象，没有导航、链接错误，尽可能兼容各种运行平台；知识定位清楚，操作方便、灵活，交互性强，启动时间、链接转换时间短。</w:t>
            </w:r>
          </w:p>
        </w:tc>
      </w:tr>
      <w:tr w14:paraId="0D9C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FE10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8FD8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设计效果</w:t>
            </w:r>
          </w:p>
          <w:p w14:paraId="52F2C83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058C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教学管理功能方便实用，学习过程可控，方便学生自主学习；软件具备复杂的信息处理能力，导航清晰明确，用户环境友好，具备良好的交互环境。</w:t>
            </w:r>
          </w:p>
        </w:tc>
      </w:tr>
      <w:tr w14:paraId="413B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DDE691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艺术性</w:t>
            </w:r>
          </w:p>
          <w:p w14:paraId="31E332A0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（2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5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9F7D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界面设计</w:t>
            </w:r>
          </w:p>
          <w:p w14:paraId="2345090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763C6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界面布局合理、美观有创意，风格统一，导航清晰简洁，操作简单灵活；色彩搭配协调，视觉效果好，符合视觉心理</w:t>
            </w:r>
          </w:p>
        </w:tc>
      </w:tr>
      <w:tr w14:paraId="46C9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960A1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E085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媒体效果</w:t>
            </w:r>
          </w:p>
          <w:p w14:paraId="7962F8B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BD7F9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文字、图片、音、视频、动画切合教学主题，和谐协调，配合适当；各种媒体制作精细，吸引力强，激发学习兴趣。</w:t>
            </w:r>
          </w:p>
        </w:tc>
      </w:tr>
    </w:tbl>
    <w:p w14:paraId="33153F0A">
      <w:pPr>
        <w:ind w:firstLine="480"/>
      </w:pPr>
    </w:p>
    <w:p w14:paraId="0E020073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B6A64B5-4602-4CFF-90F8-EFC48427D0AF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0F71A468-D098-4254-A936-C9395C3C8A55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B8F0302-FCD7-4971-BA2E-667D25FC9AC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CFCFCCFC-C7B1-4AA5-9ABD-D0B33B85BFE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E130B87-531D-4532-84BA-2B99B9678A8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EF4C3DBC-B873-419F-AA2F-4F2AA274CC2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13C83F1D-A266-4464-BC43-0E7CE5B4C0FC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3AE74708-1AD9-44A0-8965-25EF64AF450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85E9C020-11B6-476F-97FC-E4CA795FE4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6AFA90D0-2D4E-4EB6-B97E-9652F26BCAC6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1" w:fontKey="{080A6C33-9DEA-41FE-99BF-CF7B43753D46}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12" w:fontKey="{DB358B1A-E613-4F3A-A11B-023944665027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13" w:fontKey="{03D9286E-DC14-415D-A9C3-B696432221F1}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  <w:embedRegular r:id="rId14" w:fontKey="{8AC70D9C-91D5-498B-B241-7980D88EA2D9}"/>
  </w:font>
  <w:font w:name="方正仿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  <w:embedRegular r:id="rId15" w:fontKey="{BADABFF8-B0D4-42FD-86BB-E50D3CE170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97274325"/>
    </w:sdtPr>
    <w:sdtContent>
      <w:p w14:paraId="64D89DC5">
        <w:pPr>
          <w:pStyle w:val="3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5296F4D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E9552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60344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69269">
    <w:pPr>
      <w:ind w:left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03B6C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4D4C4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B51B73"/>
    <w:rsid w:val="001E484A"/>
    <w:rsid w:val="00275DAD"/>
    <w:rsid w:val="002E3965"/>
    <w:rsid w:val="00330ED2"/>
    <w:rsid w:val="003D55F7"/>
    <w:rsid w:val="00546976"/>
    <w:rsid w:val="006A4EDD"/>
    <w:rsid w:val="006E63A5"/>
    <w:rsid w:val="0071059D"/>
    <w:rsid w:val="00936B68"/>
    <w:rsid w:val="00991319"/>
    <w:rsid w:val="00A02002"/>
    <w:rsid w:val="00A31337"/>
    <w:rsid w:val="00AE13BE"/>
    <w:rsid w:val="00C20194"/>
    <w:rsid w:val="00E5772F"/>
    <w:rsid w:val="00EA575D"/>
    <w:rsid w:val="00EE5A22"/>
    <w:rsid w:val="00F40948"/>
    <w:rsid w:val="00FA2358"/>
    <w:rsid w:val="00FB2382"/>
    <w:rsid w:val="00FE076C"/>
    <w:rsid w:val="06DD44EF"/>
    <w:rsid w:val="16620247"/>
    <w:rsid w:val="1D4C6F88"/>
    <w:rsid w:val="2EB54C60"/>
    <w:rsid w:val="36936684"/>
    <w:rsid w:val="423070DA"/>
    <w:rsid w:val="47B51B73"/>
    <w:rsid w:val="7997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djustRightInd w:val="0"/>
      <w:snapToGrid w:val="0"/>
      <w:spacing w:line="240" w:lineRule="atLeast"/>
      <w:ind w:firstLine="200" w:firstLineChars="20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4761</Words>
  <Characters>4930</Characters>
  <Lines>52</Lines>
  <Paragraphs>14</Paragraphs>
  <TotalTime>0</TotalTime>
  <ScaleCrop>false</ScaleCrop>
  <LinksUpToDate>false</LinksUpToDate>
  <CharactersWithSpaces>5143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2024-12-11T05:29:00Z</dcterms:created>
  <dc:creator>陈宇辰</dc:creator>
  <cp:lastModifiedBy>山东组委会丁馨雨</cp:lastModifiedBy>
  <dcterms:modified xsi:type="dcterms:W3CDTF">2024-12-11T12:12:59Z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F95ECD4D6C4240E1911F1395E667A997_11</vt:lpwstr>
  </property>
</Properties>
</file>